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BD1B84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E7012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773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BD1B84" w:rsidRDefault="0051074B" w:rsidP="00C7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061A88">
        <w:rPr>
          <w:rFonts w:ascii="Times New Roman" w:hAnsi="Times New Roman" w:cs="Times New Roman"/>
          <w:sz w:val="28"/>
          <w:szCs w:val="28"/>
        </w:rPr>
        <w:t>24.12</w:t>
      </w:r>
      <w:r w:rsidR="00E7012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061A88">
        <w:rPr>
          <w:rFonts w:ascii="Times New Roman" w:hAnsi="Times New Roman" w:cs="Times New Roman"/>
          <w:sz w:val="28"/>
          <w:szCs w:val="28"/>
        </w:rPr>
        <w:t>201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="00BD1B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D1B84">
        <w:rPr>
          <w:rFonts w:ascii="Times New Roman" w:hAnsi="Times New Roman" w:cs="Times New Roman"/>
          <w:sz w:val="28"/>
          <w:szCs w:val="28"/>
        </w:rPr>
        <w:t xml:space="preserve">, </w:t>
      </w:r>
      <w:r w:rsidR="00BD1B84"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BD1B84">
        <w:rPr>
          <w:rFonts w:ascii="Times New Roman" w:hAnsi="Times New Roman" w:cs="Times New Roman"/>
          <w:sz w:val="28"/>
          <w:szCs w:val="28"/>
        </w:rPr>
        <w:t xml:space="preserve">26.11.2020           </w:t>
      </w:r>
      <w:r w:rsidR="00BD1B84" w:rsidRPr="00753BFE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>
        <w:rPr>
          <w:rFonts w:ascii="Times New Roman" w:hAnsi="Times New Roman" w:cs="Times New Roman"/>
          <w:sz w:val="28"/>
          <w:szCs w:val="28"/>
        </w:rPr>
        <w:t>197 «</w:t>
      </w:r>
      <w:r w:rsidR="00BD1B84" w:rsidRPr="00C75081">
        <w:rPr>
          <w:rFonts w:ascii="Times New Roman" w:hAnsi="Times New Roman" w:cs="Times New Roman"/>
          <w:sz w:val="28"/>
          <w:szCs w:val="28"/>
        </w:rPr>
        <w:t>О бюджете Семикаракорского городского поселения Семикаракорского района на 2021 год и на плановый период 2022 и 2023 годов»</w:t>
      </w:r>
    </w:p>
    <w:p w:rsidR="0051074B" w:rsidRPr="00BD1B84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 w:rsidRPr="00753BFE">
        <w:rPr>
          <w:rFonts w:ascii="Times New Roman" w:hAnsi="Times New Roman" w:cs="Times New Roman"/>
          <w:sz w:val="28"/>
          <w:szCs w:val="28"/>
        </w:rPr>
        <w:t>внести</w:t>
      </w:r>
      <w:r w:rsidR="00E7012E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061A88">
        <w:rPr>
          <w:rFonts w:ascii="Times New Roman" w:hAnsi="Times New Roman" w:cs="Times New Roman"/>
          <w:sz w:val="28"/>
          <w:szCs w:val="28"/>
        </w:rPr>
        <w:t>17.12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061A88">
        <w:rPr>
          <w:rFonts w:ascii="Times New Roman" w:hAnsi="Times New Roman" w:cs="Times New Roman"/>
          <w:sz w:val="28"/>
          <w:szCs w:val="28"/>
        </w:rPr>
        <w:t>728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 w:rsidR="00340DDF" w:rsidRPr="00753BFE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 xml:space="preserve">  30.12.2020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B84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061A8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170 205.2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061A8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133 828,2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061A8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8 285,0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61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61A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0C4588">
        <w:rPr>
          <w:rFonts w:ascii="Times New Roman" w:hAnsi="Times New Roman" w:cs="Times New Roman"/>
          <w:sz w:val="28"/>
          <w:szCs w:val="28"/>
        </w:rPr>
        <w:t>170 205,2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C4588">
        <w:rPr>
          <w:rFonts w:ascii="Times New Roman" w:hAnsi="Times New Roman" w:cs="Times New Roman"/>
          <w:sz w:val="28"/>
          <w:szCs w:val="28"/>
        </w:rPr>
        <w:t>133 828,2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C4588">
        <w:rPr>
          <w:rFonts w:ascii="Times New Roman" w:hAnsi="Times New Roman" w:cs="Times New Roman"/>
          <w:sz w:val="28"/>
          <w:szCs w:val="28"/>
        </w:rPr>
        <w:t>8 285,0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0C458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170 205,2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0C458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133 828,2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0C458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C45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458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2022 годах составляет </w:t>
      </w:r>
      <w:r w:rsidR="000C4588">
        <w:rPr>
          <w:rFonts w:ascii="Times New Roman" w:hAnsi="Times New Roman" w:cs="Times New Roman"/>
          <w:sz w:val="28"/>
          <w:szCs w:val="28"/>
        </w:rPr>
        <w:t>170205,2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C4588">
        <w:rPr>
          <w:rFonts w:ascii="Times New Roman" w:hAnsi="Times New Roman" w:cs="Times New Roman"/>
          <w:sz w:val="28"/>
          <w:szCs w:val="28"/>
        </w:rPr>
        <w:t>133 828,2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C4588">
        <w:rPr>
          <w:rFonts w:ascii="Times New Roman" w:hAnsi="Times New Roman" w:cs="Times New Roman"/>
          <w:sz w:val="28"/>
          <w:szCs w:val="28"/>
        </w:rPr>
        <w:t>8 285,0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ед. 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изм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80342A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0C4588" w:rsidRDefault="000C458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0C458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2536B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0C4588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0C4588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8034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0C458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0C458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2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16" w:type="dxa"/>
            <w:shd w:val="clear" w:color="auto" w:fill="auto"/>
          </w:tcPr>
          <w:p w:rsidR="009A0B1A" w:rsidRPr="000C4588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</w:tcPr>
          <w:p w:rsidR="009A0B1A" w:rsidRPr="000C4588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 w:rsidR="00464833"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 w:rsidR="00464833"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2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864,3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BD2806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170 205,2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BD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133 828,2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BD2806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0C458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374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170 205,2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585FF9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A374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A374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133 828,2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585FF9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585FF9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A374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A374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4A" w:rsidRPr="00753BFE" w:rsidRDefault="004A374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753BFE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74A" w:rsidRPr="009A0B1A" w:rsidRDefault="004A374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7A4" w:rsidRDefault="002407A4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80342A">
        <w:rPr>
          <w:rFonts w:ascii="Times New Roman" w:hAnsi="Times New Roman" w:cs="Times New Roman"/>
          <w:sz w:val="28"/>
          <w:szCs w:val="28"/>
        </w:rPr>
        <w:t>»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2A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69" w:rsidRDefault="00F22A69" w:rsidP="00037167">
      <w:pPr>
        <w:spacing w:after="0" w:line="240" w:lineRule="auto"/>
      </w:pPr>
      <w:r>
        <w:separator/>
      </w:r>
    </w:p>
  </w:endnote>
  <w:endnote w:type="continuationSeparator" w:id="1">
    <w:p w:rsidR="00F22A69" w:rsidRDefault="00F22A69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F22A69" w:rsidRDefault="00F22A69">
        <w:pPr>
          <w:pStyle w:val="af4"/>
          <w:jc w:val="right"/>
        </w:pPr>
        <w:fldSimple w:instr=" PAGE   \* MERGEFORMAT ">
          <w:r w:rsidR="00C75081">
            <w:rPr>
              <w:noProof/>
            </w:rPr>
            <w:t>1</w:t>
          </w:r>
        </w:fldSimple>
      </w:p>
    </w:sdtContent>
  </w:sdt>
  <w:p w:rsidR="00F22A69" w:rsidRDefault="00F22A6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69" w:rsidRDefault="00F22A69" w:rsidP="00037167">
      <w:pPr>
        <w:spacing w:after="0" w:line="240" w:lineRule="auto"/>
      </w:pPr>
      <w:r>
        <w:separator/>
      </w:r>
    </w:p>
  </w:footnote>
  <w:footnote w:type="continuationSeparator" w:id="1">
    <w:p w:rsidR="00F22A69" w:rsidRDefault="00F22A69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4588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4344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36B5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400C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4833"/>
    <w:rsid w:val="00465817"/>
    <w:rsid w:val="00471CAD"/>
    <w:rsid w:val="00474F32"/>
    <w:rsid w:val="00476492"/>
    <w:rsid w:val="00476960"/>
    <w:rsid w:val="0048466F"/>
    <w:rsid w:val="0048637A"/>
    <w:rsid w:val="00491BB8"/>
    <w:rsid w:val="004962DC"/>
    <w:rsid w:val="004A374A"/>
    <w:rsid w:val="004A7ACA"/>
    <w:rsid w:val="004B3160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3A27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497E"/>
    <w:rsid w:val="00825E43"/>
    <w:rsid w:val="00827FE4"/>
    <w:rsid w:val="0083244E"/>
    <w:rsid w:val="0083290E"/>
    <w:rsid w:val="00835557"/>
    <w:rsid w:val="00844A24"/>
    <w:rsid w:val="00845A76"/>
    <w:rsid w:val="00854480"/>
    <w:rsid w:val="0085765B"/>
    <w:rsid w:val="00863C3E"/>
    <w:rsid w:val="008647A2"/>
    <w:rsid w:val="00871674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103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0464"/>
    <w:rsid w:val="00A459F7"/>
    <w:rsid w:val="00A50F92"/>
    <w:rsid w:val="00A5661E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0AFD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1B84"/>
    <w:rsid w:val="00BD2806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5081"/>
    <w:rsid w:val="00C75A89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25B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012E"/>
    <w:rsid w:val="00E72947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85A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0F52-FC04-4853-933B-244A1FB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67</Pages>
  <Words>16586</Words>
  <Characters>94541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2021-01-19T10:52:00Z</cp:lastPrinted>
  <dcterms:created xsi:type="dcterms:W3CDTF">2020-04-25T08:54:00Z</dcterms:created>
  <dcterms:modified xsi:type="dcterms:W3CDTF">2021-01-19T10:53:00Z</dcterms:modified>
</cp:coreProperties>
</file>