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B7410F" w:rsidRPr="00B7410F" w:rsidTr="00A95ED2">
        <w:tc>
          <w:tcPr>
            <w:tcW w:w="4691" w:type="dxa"/>
            <w:shd w:val="clear" w:color="auto" w:fill="auto"/>
          </w:tcPr>
          <w:p w:rsidR="00B7410F" w:rsidRPr="00B7410F" w:rsidRDefault="00B7410F" w:rsidP="00B7410F">
            <w:pPr>
              <w:tabs>
                <w:tab w:val="left" w:pos="6120"/>
              </w:tabs>
              <w:jc w:val="right"/>
              <w:rPr>
                <w:sz w:val="28"/>
                <w:szCs w:val="28"/>
                <w:lang w:eastAsia="ru-RU"/>
              </w:rPr>
            </w:pPr>
          </w:p>
          <w:p w:rsidR="00B7410F" w:rsidRPr="00B7410F" w:rsidRDefault="00B7410F" w:rsidP="00B7410F">
            <w:pPr>
              <w:tabs>
                <w:tab w:val="left" w:pos="6120"/>
              </w:tabs>
              <w:jc w:val="right"/>
              <w:rPr>
                <w:sz w:val="28"/>
                <w:szCs w:val="28"/>
                <w:lang w:eastAsia="ru-RU"/>
              </w:rPr>
            </w:pPr>
          </w:p>
          <w:p w:rsidR="00B7410F" w:rsidRPr="00B7410F" w:rsidRDefault="00B7410F" w:rsidP="00B7410F">
            <w:pPr>
              <w:tabs>
                <w:tab w:val="left" w:pos="6120"/>
              </w:tabs>
              <w:jc w:val="right"/>
              <w:rPr>
                <w:sz w:val="28"/>
                <w:szCs w:val="28"/>
                <w:lang w:eastAsia="ru-RU"/>
              </w:rPr>
            </w:pPr>
          </w:p>
        </w:tc>
        <w:tc>
          <w:tcPr>
            <w:tcW w:w="5340" w:type="dxa"/>
            <w:shd w:val="clear" w:color="auto" w:fill="auto"/>
          </w:tcPr>
          <w:p w:rsidR="00B7410F" w:rsidRPr="00B7410F" w:rsidRDefault="00B7410F" w:rsidP="00B7410F">
            <w:pPr>
              <w:tabs>
                <w:tab w:val="left" w:pos="6120"/>
              </w:tabs>
              <w:jc w:val="right"/>
              <w:rPr>
                <w:lang w:eastAsia="ru-RU"/>
              </w:rPr>
            </w:pPr>
            <w:r w:rsidRPr="00B7410F">
              <w:rPr>
                <w:lang w:eastAsia="ru-RU"/>
              </w:rPr>
              <w:t>Приложение  2</w:t>
            </w:r>
          </w:p>
          <w:p w:rsidR="00B7410F" w:rsidRPr="00B7410F" w:rsidRDefault="00B7410F" w:rsidP="00B7410F">
            <w:pPr>
              <w:tabs>
                <w:tab w:val="left" w:pos="6120"/>
              </w:tabs>
              <w:jc w:val="right"/>
              <w:rPr>
                <w:lang w:eastAsia="ru-RU"/>
              </w:rPr>
            </w:pPr>
            <w:r w:rsidRPr="00B7410F">
              <w:rPr>
                <w:lang w:eastAsia="ru-RU"/>
              </w:rPr>
              <w:t xml:space="preserve">к программе проведения оценки </w:t>
            </w:r>
          </w:p>
          <w:p w:rsidR="00B7410F" w:rsidRPr="00B7410F" w:rsidRDefault="00B7410F" w:rsidP="00B7410F">
            <w:pPr>
              <w:tabs>
                <w:tab w:val="left" w:pos="6120"/>
              </w:tabs>
              <w:jc w:val="right"/>
              <w:rPr>
                <w:lang w:eastAsia="ru-RU"/>
              </w:rPr>
            </w:pPr>
            <w:r w:rsidRPr="00B7410F">
              <w:rPr>
                <w:lang w:eastAsia="ru-RU"/>
              </w:rPr>
              <w:t xml:space="preserve">обеспечения готовности </w:t>
            </w:r>
          </w:p>
          <w:p w:rsidR="00B7410F" w:rsidRPr="00B7410F" w:rsidRDefault="00B7410F" w:rsidP="00B7410F">
            <w:pPr>
              <w:tabs>
                <w:tab w:val="left" w:pos="6120"/>
              </w:tabs>
              <w:jc w:val="right"/>
              <w:rPr>
                <w:lang w:eastAsia="ru-RU"/>
              </w:rPr>
            </w:pPr>
            <w:r w:rsidRPr="00B7410F">
              <w:rPr>
                <w:lang w:eastAsia="ru-RU"/>
              </w:rPr>
              <w:t xml:space="preserve">к отопительному периоду </w:t>
            </w:r>
          </w:p>
          <w:p w:rsidR="00B7410F" w:rsidRPr="00B7410F" w:rsidRDefault="00B7410F" w:rsidP="00B7410F">
            <w:pPr>
              <w:tabs>
                <w:tab w:val="left" w:pos="6120"/>
              </w:tabs>
              <w:jc w:val="right"/>
              <w:rPr>
                <w:lang w:eastAsia="ru-RU"/>
              </w:rPr>
            </w:pPr>
            <w:r w:rsidRPr="00B7410F">
              <w:rPr>
                <w:lang w:eastAsia="ru-RU"/>
              </w:rPr>
              <w:t xml:space="preserve">теплоснабжающих организаций </w:t>
            </w:r>
          </w:p>
          <w:p w:rsidR="00B7410F" w:rsidRPr="00B7410F" w:rsidRDefault="00B7410F" w:rsidP="00B7410F">
            <w:pPr>
              <w:tabs>
                <w:tab w:val="left" w:pos="6120"/>
              </w:tabs>
              <w:jc w:val="right"/>
              <w:rPr>
                <w:lang w:eastAsia="ru-RU"/>
              </w:rPr>
            </w:pPr>
            <w:r w:rsidRPr="00B7410F">
              <w:rPr>
                <w:lang w:eastAsia="ru-RU"/>
              </w:rPr>
              <w:t xml:space="preserve">и потребителей тепловой энергии </w:t>
            </w:r>
          </w:p>
          <w:p w:rsidR="00B7410F" w:rsidRPr="00B7410F" w:rsidRDefault="00B7410F" w:rsidP="00B7410F">
            <w:pPr>
              <w:tabs>
                <w:tab w:val="left" w:pos="6120"/>
              </w:tabs>
              <w:jc w:val="right"/>
              <w:rPr>
                <w:lang w:eastAsia="ru-RU"/>
              </w:rPr>
            </w:pPr>
            <w:r w:rsidRPr="00B7410F">
              <w:rPr>
                <w:lang w:eastAsia="ru-RU"/>
              </w:rPr>
              <w:t>Семикаракорского городского поселения к работе в отопительном периоде 2025-2026 годов</w:t>
            </w:r>
          </w:p>
        </w:tc>
      </w:tr>
    </w:tbl>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proofErr w:type="gramStart"/>
      <w:r w:rsidRPr="007D324B">
        <w:rPr>
          <w:rFonts w:eastAsia="SimSun"/>
          <w:b/>
          <w:sz w:val="28"/>
          <w:szCs w:val="28"/>
          <w:lang w:eastAsia="ar-SA"/>
        </w:rPr>
        <w:t xml:space="preserve">для расчета индекса готовности к отопительному периоду потребителей тепловой энергии, </w:t>
      </w:r>
      <w:proofErr w:type="spellStart"/>
      <w:r w:rsidRPr="007D324B">
        <w:rPr>
          <w:rFonts w:eastAsia="SimSun"/>
          <w:b/>
          <w:sz w:val="28"/>
          <w:szCs w:val="28"/>
          <w:lang w:eastAsia="ar-SA"/>
        </w:rPr>
        <w:t>теплопотребляющие</w:t>
      </w:r>
      <w:proofErr w:type="spellEnd"/>
      <w:r w:rsidRPr="007D324B">
        <w:rPr>
          <w:rFonts w:eastAsia="SimSun"/>
          <w:b/>
          <w:sz w:val="28"/>
          <w:szCs w:val="28"/>
          <w:lang w:eastAsia="ar-SA"/>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7D324B">
        <w:rPr>
          <w:rFonts w:eastAsia="SimSun"/>
          <w:b/>
          <w:sz w:val="28"/>
          <w:szCs w:val="28"/>
          <w:lang w:eastAsia="ar-SA"/>
        </w:rPr>
        <w:t>теплопотребляющих</w:t>
      </w:r>
      <w:proofErr w:type="spellEnd"/>
      <w:r w:rsidRPr="007D324B">
        <w:rPr>
          <w:rFonts w:eastAsia="SimSun"/>
          <w:b/>
          <w:sz w:val="28"/>
          <w:szCs w:val="28"/>
          <w:lang w:eastAsia="ar-SA"/>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w:t>
      </w:r>
      <w:proofErr w:type="gramEnd"/>
      <w:r w:rsidRPr="007D324B">
        <w:rPr>
          <w:rFonts w:eastAsia="SimSun"/>
          <w:b/>
          <w:sz w:val="28"/>
          <w:szCs w:val="28"/>
          <w:lang w:eastAsia="ar-SA"/>
        </w:rPr>
        <w:t xml:space="preserve"> </w:t>
      </w:r>
      <w:proofErr w:type="gramStart"/>
      <w:r w:rsidRPr="007D324B">
        <w:rPr>
          <w:rFonts w:eastAsia="SimSun"/>
          <w:b/>
          <w:sz w:val="28"/>
          <w:szCs w:val="28"/>
          <w:lang w:eastAsia="ar-SA"/>
        </w:rPr>
        <w:t xml:space="preserve">управлению многоквартирными домами, а также лиц, с которыми в соответствии с </w:t>
      </w:r>
      <w:hyperlink r:id="rId9" w:tooltip="&quot;Жилищный кодекс Российской Федерации&quot; от 29.12.2004 N 188-ФЗ (ред. от 08.08.2024) (с изм. и доп., вступ. в силу с 01.09.2024){КонсультантПлюс}" w:history="1">
        <w:r w:rsidRPr="007D324B">
          <w:rPr>
            <w:rFonts w:eastAsia="SimSun"/>
            <w:b/>
            <w:color w:val="0000FF"/>
            <w:sz w:val="28"/>
            <w:szCs w:val="28"/>
            <w:lang w:eastAsia="ar-SA"/>
          </w:rPr>
          <w:t>частью 1 статьи 164</w:t>
        </w:r>
      </w:hyperlink>
      <w:r w:rsidRPr="007D324B">
        <w:rPr>
          <w:rFonts w:eastAsia="SimSun"/>
          <w:b/>
          <w:sz w:val="28"/>
          <w:szCs w:val="28"/>
          <w:lang w:eastAsia="ar-SA"/>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w:t>
      </w:r>
      <w:proofErr w:type="gramEnd"/>
      <w:r w:rsidRPr="007D324B">
        <w:rPr>
          <w:rFonts w:eastAsia="SimSun"/>
          <w:b/>
          <w:sz w:val="28"/>
          <w:szCs w:val="28"/>
          <w:lang w:eastAsia="ar-SA"/>
        </w:rPr>
        <w:t xml:space="preserve">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D324B" w:rsidRDefault="007D324B" w:rsidP="007D324B">
      <w:pPr>
        <w:rPr>
          <w:sz w:val="28"/>
          <w:szCs w:val="28"/>
          <w:lang w:eastAsia="ru-RU"/>
        </w:rPr>
      </w:pPr>
    </w:p>
    <w:tbl>
      <w:tblPr>
        <w:tblW w:w="16018"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2409"/>
        <w:gridCol w:w="3261"/>
        <w:gridCol w:w="2126"/>
        <w:gridCol w:w="1276"/>
        <w:gridCol w:w="1417"/>
        <w:gridCol w:w="1701"/>
        <w:gridCol w:w="1418"/>
        <w:gridCol w:w="1559"/>
      </w:tblGrid>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819" w:type="dxa"/>
            <w:gridSpan w:val="3"/>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потр</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0,85 + </w:t>
            </w: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spellEnd"/>
            <w:r w:rsidRPr="007D324B">
              <w:rPr>
                <w:rFonts w:eastAsia="SimSun"/>
                <w:sz w:val="20"/>
                <w:szCs w:val="20"/>
                <w:vertAlign w:val="subscript"/>
                <w:lang w:eastAsia="ar-SA"/>
              </w:rPr>
              <w:t>. фонд</w:t>
            </w:r>
            <w:r w:rsidRPr="007D324B">
              <w:rPr>
                <w:rFonts w:eastAsia="SimSun"/>
                <w:sz w:val="20"/>
                <w:szCs w:val="20"/>
                <w:lang w:eastAsia="ar-SA"/>
              </w:rPr>
              <w:t xml:space="preserve"> * 0,06 + </w:t>
            </w: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 0,02 + </w:t>
            </w: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0,02</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 xml:space="preserve">частью 6 </w:t>
              </w:r>
              <w:r w:rsidRPr="007D324B">
                <w:rPr>
                  <w:rFonts w:eastAsia="SimSun"/>
                  <w:color w:val="0000FF"/>
                  <w:sz w:val="20"/>
                  <w:szCs w:val="20"/>
                  <w:lang w:eastAsia="ar-SA"/>
                </w:rPr>
                <w:lastRenderedPageBreak/>
                <w:t>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sidRPr="007D324B">
                <w:rPr>
                  <w:rFonts w:eastAsia="SimSun"/>
                  <w:color w:val="0000FF"/>
                  <w:sz w:val="20"/>
                  <w:szCs w:val="20"/>
                  <w:lang w:eastAsia="ar-SA"/>
                </w:rPr>
                <w:t>подпункт 11.1 пункта 11</w:t>
              </w:r>
            </w:hyperlink>
            <w:r w:rsidRPr="007D324B">
              <w:rPr>
                <w:rFonts w:eastAsia="SimSun"/>
                <w:sz w:val="20"/>
                <w:szCs w:val="20"/>
                <w:lang w:eastAsia="ar-SA"/>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w:t>
            </w:r>
            <w:r w:rsidRPr="007D324B">
              <w:rPr>
                <w:rFonts w:eastAsia="SimSun"/>
                <w:sz w:val="20"/>
                <w:szCs w:val="20"/>
                <w:lang w:eastAsia="ar-SA"/>
              </w:rPr>
              <w:lastRenderedPageBreak/>
              <w:t xml:space="preserve">требований Федерального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0,85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0,8 + </w:t>
            </w:r>
            <w:proofErr w:type="spellStart"/>
            <w:r w:rsidRPr="007D324B">
              <w:rPr>
                <w:rFonts w:eastAsia="SimSun"/>
                <w:sz w:val="20"/>
                <w:szCs w:val="20"/>
                <w:lang w:eastAsia="ar-SA"/>
              </w:rPr>
              <w:lastRenderedPageBreak/>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0,03 + </w:t>
            </w: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0,15 + </w:t>
            </w: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0,02</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эксплуатацию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 в сфере теплоснабжения, установленными </w:t>
            </w:r>
            <w:hyperlink r:id="rId1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23.2</w:t>
              </w:r>
            </w:hyperlink>
            <w:r w:rsidRPr="007D324B">
              <w:rPr>
                <w:rFonts w:eastAsia="SimSun"/>
                <w:sz w:val="20"/>
                <w:szCs w:val="20"/>
                <w:lang w:eastAsia="ar-SA"/>
              </w:rPr>
              <w:t xml:space="preserve"> Федерального закона о теплоснабжении (</w:t>
            </w:r>
            <w:hyperlink r:id="rId1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подпунктами 11.5.1</w:t>
              </w:r>
            </w:hyperlink>
            <w:r w:rsidRPr="007D324B">
              <w:rPr>
                <w:rFonts w:eastAsia="SimSun"/>
                <w:sz w:val="20"/>
                <w:szCs w:val="20"/>
                <w:lang w:eastAsia="ar-SA"/>
              </w:rP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11.5.10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обеспечения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0,8</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r w:rsidRPr="007D324B">
              <w:rPr>
                <w:rFonts w:eastAsia="SimSun"/>
                <w:sz w:val="20"/>
                <w:szCs w:val="20"/>
                <w:lang w:eastAsia="ar-SA"/>
              </w:rPr>
              <w:t xml:space="preserve"> * 0,3 1 +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0,31 + К</w:t>
            </w:r>
            <w:r w:rsidRPr="007D324B">
              <w:rPr>
                <w:rFonts w:eastAsia="SimSun"/>
                <w:sz w:val="20"/>
                <w:szCs w:val="20"/>
                <w:vertAlign w:val="subscript"/>
                <w:lang w:eastAsia="ar-SA"/>
              </w:rPr>
              <w:t>арм</w:t>
            </w:r>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0,31 + </w:t>
            </w: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па.спорт.тепл.пункт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регул.темпер</w:t>
            </w:r>
            <w:proofErr w:type="spellEnd"/>
            <w:r w:rsidRPr="007D324B">
              <w:rPr>
                <w:rFonts w:eastAsia="SimSun"/>
                <w:sz w:val="20"/>
                <w:szCs w:val="20"/>
                <w:lang w:eastAsia="ar-SA"/>
              </w:rPr>
              <w:t xml:space="preserve"> * 0,01</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9.2.9</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2203"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w:t>
            </w:r>
            <w:r w:rsidRPr="007D324B">
              <w:rPr>
                <w:rFonts w:eastAsia="SimSun"/>
                <w:sz w:val="20"/>
                <w:szCs w:val="20"/>
                <w:lang w:eastAsia="ar-SA"/>
              </w:rPr>
              <w:lastRenderedPageBreak/>
              <w:t>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 11.5.1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акта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9.3.25</w:t>
              </w:r>
            </w:hyperlink>
            <w:r w:rsidRPr="007D324B">
              <w:rPr>
                <w:rFonts w:eastAsia="SimSun"/>
                <w:sz w:val="20"/>
                <w:szCs w:val="20"/>
                <w:lang w:eastAsia="ar-SA"/>
              </w:rP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sidRPr="007D324B">
                <w:rPr>
                  <w:rFonts w:eastAsia="SimSun"/>
                  <w:color w:val="0000FF"/>
                  <w:sz w:val="20"/>
                  <w:szCs w:val="20"/>
                  <w:lang w:eastAsia="ar-SA"/>
                </w:rPr>
                <w:t>подпункт 11.5.2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наладки режимов потребления тепловой энергии и (или)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1.1.3</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Акт проверки (осмотра) запорной арматуры, в том числе в высших (воздушники) и низших точках трубопровода (</w:t>
            </w:r>
            <w:proofErr w:type="spellStart"/>
            <w:r w:rsidRPr="007D324B">
              <w:rPr>
                <w:rFonts w:eastAsia="SimSun"/>
                <w:sz w:val="20"/>
                <w:szCs w:val="20"/>
                <w:lang w:eastAsia="ar-SA"/>
              </w:rPr>
              <w:t>спускники</w:t>
            </w:r>
            <w:proofErr w:type="spellEnd"/>
            <w:r w:rsidRPr="007D324B">
              <w:rPr>
                <w:rFonts w:eastAsia="SimSun"/>
                <w:sz w:val="20"/>
                <w:szCs w:val="20"/>
                <w:lang w:eastAsia="ar-SA"/>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7D324B">
              <w:rPr>
                <w:rFonts w:eastAsia="SimSun"/>
                <w:sz w:val="20"/>
                <w:szCs w:val="20"/>
                <w:lang w:eastAsia="ar-SA"/>
              </w:rPr>
              <w:t>теплосетевыми</w:t>
            </w:r>
            <w:proofErr w:type="spellEnd"/>
            <w:r w:rsidRPr="007D324B">
              <w:rPr>
                <w:rFonts w:eastAsia="SimSun"/>
                <w:sz w:val="20"/>
                <w:szCs w:val="20"/>
                <w:lang w:eastAsia="ar-SA"/>
              </w:rPr>
              <w:t xml:space="preserve"> организациями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sidRPr="007D324B">
                <w:rPr>
                  <w:rFonts w:eastAsia="SimSun"/>
                  <w:color w:val="0000FF"/>
                  <w:sz w:val="20"/>
                  <w:szCs w:val="20"/>
                  <w:lang w:eastAsia="ar-SA"/>
                </w:rPr>
                <w:t>подпункт 11.5.3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проверки (осмотра) запорной арматуры и арматуры постоянного регулирования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w:t>
            </w:r>
            <w:r w:rsidRPr="007D324B">
              <w:rPr>
                <w:rFonts w:eastAsia="SimSun"/>
                <w:sz w:val="20"/>
                <w:szCs w:val="20"/>
                <w:vertAlign w:val="subscript"/>
                <w:lang w:eastAsia="ar-SA"/>
              </w:rPr>
              <w:t>арм</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Установленные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w:t>
            </w:r>
            <w:r w:rsidRPr="007D324B">
              <w:rPr>
                <w:rFonts w:eastAsia="SimSun"/>
                <w:sz w:val="20"/>
                <w:szCs w:val="20"/>
                <w:lang w:eastAsia="ar-SA"/>
              </w:rPr>
              <w:lastRenderedPageBreak/>
              <w:t xml:space="preserve">организации о назначении ответственных лиц за безопасную эксплуатацию тепловых энергоустановок для объектов и (или) установленные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от 15 декабря 2020 г. N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sidRPr="007D324B">
                <w:rPr>
                  <w:rFonts w:eastAsia="SimSun"/>
                  <w:color w:val="0000FF"/>
                  <w:sz w:val="20"/>
                  <w:szCs w:val="20"/>
                  <w:lang w:eastAsia="ar-SA"/>
                </w:rPr>
                <w:t>подпункт 11.5.4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назначения ответственных лиц за безопасную эксплуатацию тепловых </w:t>
            </w:r>
            <w:r w:rsidRPr="007D324B">
              <w:rPr>
                <w:rFonts w:eastAsia="SimSun"/>
                <w:sz w:val="20"/>
                <w:szCs w:val="20"/>
                <w:lang w:eastAsia="ar-SA"/>
              </w:rPr>
              <w:lastRenderedPageBreak/>
              <w:t>энергоустановок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1.1.5</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9.8</w:t>
              </w:r>
            </w:hyperlink>
            <w:r w:rsidRPr="007D324B">
              <w:rPr>
                <w:rFonts w:eastAsia="SimSun"/>
                <w:sz w:val="20"/>
                <w:szCs w:val="20"/>
                <w:lang w:eastAsia="ar-SA"/>
              </w:rPr>
              <w:t xml:space="preserve">, </w:t>
            </w:r>
            <w:hyperlink r:id="rId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9.1.59</w:t>
              </w:r>
            </w:hyperlink>
            <w:r w:rsidRPr="007D324B">
              <w:rPr>
                <w:rFonts w:eastAsia="SimSun"/>
                <w:sz w:val="20"/>
                <w:szCs w:val="20"/>
                <w:lang w:eastAsia="ar-SA"/>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7D324B">
              <w:rPr>
                <w:rFonts w:eastAsia="SimSun"/>
                <w:sz w:val="20"/>
                <w:szCs w:val="20"/>
                <w:lang w:eastAsia="ar-SA"/>
              </w:rPr>
              <w:t xml:space="preserve"> пункта и (или)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sidRPr="007D324B">
                <w:rPr>
                  <w:rFonts w:eastAsia="SimSun"/>
                  <w:color w:val="0000FF"/>
                  <w:sz w:val="20"/>
                  <w:szCs w:val="20"/>
                  <w:lang w:eastAsia="ar-SA"/>
                </w:rPr>
                <w:t>подпункт 11.5.5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1.1.6</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sidRPr="007D324B">
                <w:rPr>
                  <w:rFonts w:eastAsia="SimSun"/>
                  <w:color w:val="0000FF"/>
                  <w:sz w:val="20"/>
                  <w:szCs w:val="20"/>
                  <w:lang w:eastAsia="ar-SA"/>
                </w:rPr>
                <w:t>подпункт 11.5.6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1.1.7</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требованиями </w:t>
            </w:r>
            <w:hyperlink r:id="rId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2.2</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sidRPr="007D324B">
                <w:rPr>
                  <w:rFonts w:eastAsia="SimSun"/>
                  <w:color w:val="0000FF"/>
                  <w:sz w:val="20"/>
                  <w:szCs w:val="20"/>
                  <w:lang w:eastAsia="ar-SA"/>
                </w:rPr>
                <w:t>подпункт 11.5.7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эксплуатационных инструкций объектов теплоснабжения и (или) производственных инструкций</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Паспорта тепловых пунктов или копии паспортов тепловых пунктов в соответствии с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9.1.5</w:t>
              </w:r>
            </w:hyperlink>
            <w:r w:rsidRPr="007D324B">
              <w:rPr>
                <w:rFonts w:eastAsia="SimSun"/>
                <w:sz w:val="20"/>
                <w:szCs w:val="20"/>
                <w:lang w:eastAsia="ar-SA"/>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 установленным в здании (сооружении)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sidRPr="007D324B">
                <w:rPr>
                  <w:rFonts w:eastAsia="SimSun"/>
                  <w:color w:val="0000FF"/>
                  <w:sz w:val="20"/>
                  <w:szCs w:val="20"/>
                  <w:lang w:eastAsia="ar-SA"/>
                </w:rPr>
                <w:t>подпункт 11.5.8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паспорт</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епл.пункт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1.1.9</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для эксплуатации оборудования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sidRPr="007D324B">
                <w:rPr>
                  <w:rFonts w:eastAsia="SimSun"/>
                  <w:color w:val="0000FF"/>
                  <w:sz w:val="20"/>
                  <w:szCs w:val="20"/>
                  <w:lang w:eastAsia="ar-SA"/>
                </w:rPr>
                <w:t>подпункт 11.5.9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t>энергосервисных</w:t>
            </w:r>
            <w:proofErr w:type="spellEnd"/>
            <w:r w:rsidRPr="007D324B">
              <w:rPr>
                <w:rFonts w:eastAsia="SimSun"/>
                <w:sz w:val="20"/>
                <w:szCs w:val="20"/>
                <w:lang w:eastAsia="ar-SA"/>
              </w:rPr>
              <w:t xml:space="preserve"> контрактов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1.1.10</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9.3.22</w:t>
              </w:r>
            </w:hyperlink>
            <w:r w:rsidRPr="007D324B">
              <w:rPr>
                <w:rFonts w:eastAsia="SimSun"/>
                <w:sz w:val="20"/>
                <w:szCs w:val="20"/>
                <w:lang w:eastAsia="ar-SA"/>
              </w:rPr>
              <w:t xml:space="preserve">, </w:t>
            </w:r>
            <w:hyperlink r:id="rId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9.4.18</w:t>
              </w:r>
            </w:hyperlink>
            <w:r w:rsidRPr="007D324B">
              <w:rPr>
                <w:rFonts w:eastAsia="SimSun"/>
                <w:sz w:val="20"/>
                <w:szCs w:val="20"/>
                <w:lang w:eastAsia="ar-SA"/>
              </w:rPr>
              <w:t xml:space="preserve"> Правил технической 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подпункт 11.5.10</w:t>
              </w:r>
              <w:proofErr w:type="gramEnd"/>
              <w:r w:rsidRPr="007D324B">
                <w:rPr>
                  <w:rFonts w:eastAsia="SimSun"/>
                  <w:color w:val="0000FF"/>
                  <w:sz w:val="20"/>
                  <w:szCs w:val="20"/>
                  <w:lang w:eastAsia="ar-SA"/>
                </w:rPr>
                <w:t xml:space="preserve">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или документов, подтверждающих работоспособность автоматических регуляторов температуры воды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регул</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емпер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готовность к соблюдению указанного в договоре теплоснабжения режима потребления тепловой энергии (</w:t>
            </w:r>
            <w:hyperlink r:id="rId2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подпунктами 11.5.11</w:t>
              </w:r>
            </w:hyperlink>
            <w:r w:rsidRPr="007D324B">
              <w:rPr>
                <w:rFonts w:eastAsia="SimSun"/>
                <w:sz w:val="20"/>
                <w:szCs w:val="20"/>
                <w:lang w:eastAsia="ar-SA"/>
              </w:rP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соблюдения указанного в договоре теплоснабжения режима потребления тепловой энергии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осмотра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w:t>
            </w:r>
            <w:r w:rsidRPr="007D324B">
              <w:rPr>
                <w:rFonts w:eastAsia="SimSun"/>
                <w:sz w:val="20"/>
                <w:szCs w:val="20"/>
                <w:lang w:eastAsia="ar-SA"/>
              </w:rPr>
              <w:lastRenderedPageBreak/>
              <w:t xml:space="preserve">предмет наличия несанкционированных врезок для разбора сетевой воды или потребления тепловой энергии на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 11.5.11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proofErr w:type="gramStart"/>
            <w:r w:rsidRPr="007D324B">
              <w:rPr>
                <w:rFonts w:eastAsia="SimSun"/>
                <w:sz w:val="20"/>
                <w:szCs w:val="20"/>
                <w:lang w:eastAsia="ar-SA"/>
              </w:rPr>
              <w:t xml:space="preserve">наличия актов осмотра объектов </w:t>
            </w:r>
            <w:r w:rsidRPr="007D324B">
              <w:rPr>
                <w:rFonts w:eastAsia="SimSun"/>
                <w:sz w:val="20"/>
                <w:szCs w:val="20"/>
                <w:lang w:eastAsia="ar-SA"/>
              </w:rPr>
              <w:lastRenderedPageBreak/>
              <w:t>теплоснабжения</w:t>
            </w:r>
            <w:proofErr w:type="gramEnd"/>
            <w:r w:rsidRPr="007D324B">
              <w:rPr>
                <w:rFonts w:eastAsia="SimSun"/>
                <w:sz w:val="20"/>
                <w:szCs w:val="20"/>
                <w:lang w:eastAsia="ar-SA"/>
              </w:rPr>
              <w:t xml:space="preserve">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предмет наличия несанкционированных врезок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подпункт</w:t>
              </w:r>
              <w:proofErr w:type="gramEnd"/>
              <w:r w:rsidRPr="007D324B">
                <w:rPr>
                  <w:rFonts w:eastAsia="SimSun"/>
                  <w:color w:val="0000FF"/>
                  <w:sz w:val="20"/>
                  <w:szCs w:val="20"/>
                  <w:lang w:eastAsia="ar-SA"/>
                </w:rPr>
                <w:t xml:space="preserve"> </w:t>
              </w:r>
              <w:proofErr w:type="gramStart"/>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отсутствие задолженности за поставленные тепловую энергию (мощность), теплоноситель (</w:t>
            </w:r>
            <w:hyperlink r:id="rId2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6 статьи 20</w:t>
              </w:r>
            </w:hyperlink>
            <w:r w:rsidRPr="007D324B">
              <w:rPr>
                <w:rFonts w:eastAsia="SimSun"/>
                <w:sz w:val="20"/>
                <w:szCs w:val="20"/>
                <w:lang w:eastAsia="ar-SA"/>
              </w:rPr>
              <w:t xml:space="preserve"> </w:t>
            </w:r>
            <w:r w:rsidRPr="007D324B">
              <w:rPr>
                <w:rFonts w:eastAsia="SimSun"/>
                <w:sz w:val="20"/>
                <w:szCs w:val="20"/>
                <w:lang w:eastAsia="ar-SA"/>
              </w:rPr>
              <w:lastRenderedPageBreak/>
              <w:t>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подпунктами 11.5.12</w:t>
              </w:r>
            </w:hyperlink>
            <w:r w:rsidRPr="007D324B">
              <w:rPr>
                <w:rFonts w:eastAsia="SimSun"/>
                <w:sz w:val="20"/>
                <w:szCs w:val="20"/>
                <w:lang w:eastAsia="ar-SA"/>
              </w:rP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Показатель отсутствия задолженности за поставленные тепловую энергию</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r w:rsidRPr="007D324B">
              <w:rPr>
                <w:rFonts w:eastAsia="SimSun"/>
                <w:sz w:val="20"/>
                <w:szCs w:val="20"/>
                <w:lang w:eastAsia="ar-SA"/>
              </w:rPr>
              <w:t xml:space="preserve"> 0,95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заключенных договоров теплоснабжения и (или) договоров </w:t>
            </w:r>
            <w:r w:rsidRPr="007D324B">
              <w:rPr>
                <w:rFonts w:eastAsia="SimSun"/>
                <w:sz w:val="20"/>
                <w:szCs w:val="20"/>
                <w:lang w:eastAsia="ar-SA"/>
              </w:rPr>
              <w:lastRenderedPageBreak/>
              <w:t>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 11.5.12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заключенных </w:t>
            </w:r>
            <w:r w:rsidRPr="007D324B">
              <w:rPr>
                <w:rFonts w:eastAsia="SimSun"/>
                <w:sz w:val="20"/>
                <w:szCs w:val="20"/>
                <w:lang w:eastAsia="ar-SA"/>
              </w:rPr>
              <w:lastRenderedPageBreak/>
              <w:t>договоров теплоснабжения и (или) договоров оказания услуг по поддержанию резервной тепловой мощности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подпункт 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0,95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коммерческий учет тепловой энергии, теплоносителя в соответствии с требованиями, установленными </w:t>
            </w:r>
            <w:hyperlink r:id="rId3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19</w:t>
              </w:r>
            </w:hyperlink>
            <w:r w:rsidRPr="007D324B">
              <w:rPr>
                <w:rFonts w:eastAsia="SimSun"/>
                <w:sz w:val="20"/>
                <w:szCs w:val="20"/>
                <w:lang w:eastAsia="ar-SA"/>
              </w:rPr>
              <w:t xml:space="preserve"> Закона о теплоснабжении (</w:t>
            </w:r>
            <w:hyperlink r:id="rId3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подпунктами 11.5.14</w:t>
              </w:r>
            </w:hyperlink>
            <w:r w:rsidRPr="007D324B">
              <w:rPr>
                <w:rFonts w:eastAsia="SimSun"/>
                <w:sz w:val="20"/>
                <w:szCs w:val="20"/>
                <w:lang w:eastAsia="ar-SA"/>
              </w:rP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организации коммерческого учета тепловой энергии,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провер.кип</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периодической проверки узла учета, составленные в соответствии с </w:t>
            </w:r>
            <w:hyperlink r:id="rId32"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пунктом 73</w:t>
              </w:r>
            </w:hyperlink>
            <w:r w:rsidRPr="007D324B">
              <w:rPr>
                <w:rFonts w:eastAsia="SimSun"/>
                <w:sz w:val="20"/>
                <w:szCs w:val="20"/>
                <w:lang w:eastAsia="ar-SA"/>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 11.5.14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проверки узла учета</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Акты проверки контрольно-</w:t>
            </w:r>
            <w:r w:rsidRPr="007D324B">
              <w:rPr>
                <w:rFonts w:eastAsia="SimSun"/>
                <w:sz w:val="20"/>
                <w:szCs w:val="20"/>
                <w:lang w:eastAsia="ar-SA"/>
              </w:rPr>
              <w:lastRenderedPageBreak/>
              <w:t>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подпункт 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актов проверки контрольно-измерительных приборов в тепловом пункте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ип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эксплуатации жилищного фонда обеспечить выполнение требований </w:t>
            </w:r>
            <w:hyperlink r:id="rId3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Правил и норм</w:t>
              </w:r>
            </w:hyperlink>
            <w:r w:rsidRPr="007D324B">
              <w:rPr>
                <w:rFonts w:eastAsia="SimSun"/>
                <w:sz w:val="20"/>
                <w:szCs w:val="20"/>
                <w:lang w:eastAsia="ar-SA"/>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и нормы технической 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sidRPr="007D324B">
                <w:rPr>
                  <w:rFonts w:eastAsia="SimSun"/>
                  <w:color w:val="0000FF"/>
                  <w:sz w:val="20"/>
                  <w:szCs w:val="20"/>
                  <w:lang w:eastAsia="ar-SA"/>
                </w:rPr>
                <w:t>подпункт 11.2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подпунктами 11.5.16</w:t>
              </w:r>
            </w:hyperlink>
            <w:r w:rsidRPr="007D324B">
              <w:rPr>
                <w:rFonts w:eastAsia="SimSun"/>
                <w:sz w:val="20"/>
                <w:szCs w:val="20"/>
                <w:lang w:eastAsia="ar-SA"/>
              </w:rP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11.5.17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w:t>
            </w:r>
            <w:hyperlink r:id="rId3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Правил и норм</w:t>
              </w:r>
            </w:hyperlink>
            <w:r w:rsidRPr="007D324B">
              <w:rPr>
                <w:rFonts w:eastAsia="SimSun"/>
                <w:sz w:val="20"/>
                <w:szCs w:val="20"/>
                <w:lang w:eastAsia="ar-SA"/>
              </w:rPr>
              <w:t xml:space="preserve"> технической эксплуатации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0,06</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r w:rsidRPr="007D324B">
              <w:rPr>
                <w:rFonts w:eastAsia="SimSun"/>
                <w:sz w:val="20"/>
                <w:szCs w:val="20"/>
                <w:lang w:eastAsia="ar-SA"/>
              </w:rPr>
              <w:t xml:space="preserve"> * 0,7 + </w:t>
            </w: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r w:rsidRPr="007D324B">
              <w:rPr>
                <w:rFonts w:eastAsia="SimSun"/>
                <w:sz w:val="20"/>
                <w:szCs w:val="20"/>
                <w:lang w:eastAsia="ar-SA"/>
              </w:rPr>
              <w:t xml:space="preserve"> * 0,3</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выполненных работ по подготовке к отопительному периоду теплового контура здания в соответствии с требованиями </w:t>
            </w:r>
            <w:hyperlink r:id="rId3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пункта 2.6.10</w:t>
              </w:r>
            </w:hyperlink>
            <w:r w:rsidRPr="007D324B">
              <w:rPr>
                <w:rFonts w:eastAsia="SimSun"/>
                <w:sz w:val="20"/>
                <w:szCs w:val="20"/>
                <w:lang w:eastAsia="ar-SA"/>
              </w:rP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 11.5.16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выполнения работ по подготовке к отопительному периоду теплового контура здания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0,7</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3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пунктом 5.2.10</w:t>
              </w:r>
            </w:hyperlink>
            <w:r w:rsidRPr="007D324B">
              <w:rPr>
                <w:rFonts w:eastAsia="SimSun"/>
                <w:sz w:val="20"/>
                <w:szCs w:val="20"/>
                <w:lang w:eastAsia="ar-SA"/>
              </w:rPr>
              <w:t xml:space="preserve"> Правил и норм технической эксплуатации жилищного фонда, санитарных правил и норм </w:t>
            </w:r>
            <w:hyperlink r:id="rId3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sidRPr="007D324B">
                <w:rPr>
                  <w:rFonts w:eastAsia="SimSun"/>
                  <w:color w:val="0000FF"/>
                  <w:sz w:val="20"/>
                  <w:szCs w:val="20"/>
                  <w:lang w:eastAsia="ar-SA"/>
                </w:rPr>
                <w:t>&lt;4</w:t>
              </w:r>
              <w:proofErr w:type="gramEnd"/>
              <w:r w:rsidRPr="007D324B">
                <w:rPr>
                  <w:rFonts w:eastAsia="SimSun"/>
                  <w:color w:val="0000FF"/>
                  <w:sz w:val="20"/>
                  <w:szCs w:val="20"/>
                  <w:lang w:eastAsia="ar-SA"/>
                </w:rPr>
                <w:t>&gt;</w:t>
              </w:r>
            </w:hyperlink>
            <w:r w:rsidRPr="007D324B">
              <w:rPr>
                <w:rFonts w:eastAsia="SimSun"/>
                <w:sz w:val="20"/>
                <w:szCs w:val="20"/>
                <w:lang w:eastAsia="ar-SA"/>
              </w:rPr>
              <w:t xml:space="preserve"> (далее - СанПиН 1.2.3685-21), и акты о результатах отбора проб воды из системы на соответствие требованиям </w:t>
            </w:r>
            <w:hyperlink r:id="rId3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xml:space="preserve">, </w:t>
            </w:r>
            <w:r w:rsidRPr="007D324B">
              <w:rPr>
                <w:rFonts w:eastAsia="SimSun"/>
                <w:sz w:val="20"/>
                <w:szCs w:val="20"/>
                <w:lang w:eastAsia="ar-SA"/>
              </w:rPr>
              <w:lastRenderedPageBreak/>
              <w:t>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подпункт 11.5.17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требования, предусмотренного </w:t>
            </w:r>
            <w:hyperlink r:id="rId39"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sidRPr="007D324B">
                <w:rPr>
                  <w:rFonts w:eastAsia="SimSun"/>
                  <w:color w:val="0000FF"/>
                  <w:sz w:val="20"/>
                  <w:szCs w:val="20"/>
                  <w:lang w:eastAsia="ar-SA"/>
                </w:rPr>
                <w:t>пунктом 11</w:t>
              </w:r>
            </w:hyperlink>
            <w:r w:rsidRPr="007D324B">
              <w:rPr>
                <w:rFonts w:eastAsia="SimSun"/>
                <w:sz w:val="20"/>
                <w:szCs w:val="20"/>
                <w:lang w:eastAsia="ar-SA"/>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sidRPr="007D324B">
                <w:rPr>
                  <w:rFonts w:eastAsia="SimSun"/>
                  <w:color w:val="0000FF"/>
                  <w:sz w:val="20"/>
                  <w:szCs w:val="20"/>
                  <w:lang w:eastAsia="ar-SA"/>
                </w:rPr>
                <w:t>подпункт 11.3 пункта 11</w:t>
              </w:r>
            </w:hyperlink>
            <w:r w:rsidRPr="007D324B">
              <w:rPr>
                <w:rFonts w:eastAsia="SimSun"/>
                <w:sz w:val="20"/>
                <w:szCs w:val="20"/>
                <w:lang w:eastAsia="ar-SA"/>
              </w:rPr>
              <w:t xml:space="preserve"> Правил)</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sidRPr="007D324B">
                <w:rPr>
                  <w:rFonts w:eastAsia="SimSun"/>
                  <w:color w:val="0000FF"/>
                  <w:sz w:val="20"/>
                  <w:szCs w:val="20"/>
                  <w:lang w:eastAsia="ar-SA"/>
                </w:rPr>
                <w:t>подпунктах 1.4</w:t>
              </w:r>
            </w:hyperlink>
            <w:r w:rsidRPr="007D324B">
              <w:rPr>
                <w:rFonts w:eastAsia="SimSun"/>
                <w:sz w:val="20"/>
                <w:szCs w:val="20"/>
                <w:lang w:eastAsia="ar-SA"/>
              </w:rP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sidRPr="007D324B">
                <w:rPr>
                  <w:rFonts w:eastAsia="SimSun"/>
                  <w:color w:val="0000FF"/>
                  <w:sz w:val="20"/>
                  <w:szCs w:val="20"/>
                  <w:lang w:eastAsia="ar-SA"/>
                </w:rPr>
                <w:t>1.5 пункта 1</w:t>
              </w:r>
            </w:hyperlink>
            <w:r w:rsidRPr="007D324B">
              <w:rPr>
                <w:rFonts w:eastAsia="SimSun"/>
                <w:sz w:val="20"/>
                <w:szCs w:val="20"/>
                <w:lang w:eastAsia="ar-SA"/>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sidRPr="007D324B">
                <w:rPr>
                  <w:rFonts w:eastAsia="SimSun"/>
                  <w:color w:val="0000FF"/>
                  <w:sz w:val="20"/>
                  <w:szCs w:val="20"/>
                  <w:lang w:eastAsia="ar-SA"/>
                </w:rPr>
                <w:t>пункт 11.5.18 пункта 18</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w:t>
            </w:r>
            <w:proofErr w:type="gramStart"/>
            <w:r w:rsidRPr="007D324B">
              <w:rPr>
                <w:rFonts w:eastAsia="SimSun"/>
                <w:sz w:val="20"/>
                <w:szCs w:val="20"/>
                <w:lang w:eastAsia="ar-SA"/>
              </w:rPr>
              <w:t>=</w:t>
            </w:r>
            <w:r w:rsidRPr="007D324B">
              <w:rPr>
                <w:rFonts w:eastAsia="SimSun"/>
                <w:sz w:val="20"/>
                <w:szCs w:val="20"/>
                <w:vertAlign w:val="superscript"/>
                <w:lang w:eastAsia="ar-SA"/>
              </w:rPr>
              <w:t>-</w:t>
            </w:r>
            <w:proofErr w:type="spellStart"/>
            <w:proofErr w:type="gramEnd"/>
            <w:r w:rsidRPr="007D324B">
              <w:rPr>
                <w:rFonts w:eastAsia="SimSun"/>
                <w:sz w:val="20"/>
                <w:szCs w:val="20"/>
                <w:lang w:eastAsia="ar-SA"/>
              </w:rPr>
              <w:t>К</w:t>
            </w:r>
            <w:r w:rsidRPr="007D324B">
              <w:rPr>
                <w:rFonts w:eastAsia="SimSun"/>
                <w:sz w:val="20"/>
                <w:szCs w:val="20"/>
                <w:vertAlign w:val="subscript"/>
                <w:lang w:eastAsia="ar-SA"/>
              </w:rPr>
              <w:t>дым.вент</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догов.тех.обсл</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обследования дымовых и вентиляционных каналов многоквартирных домов перед отопительным периодом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.в</w:t>
            </w:r>
            <w:proofErr w:type="gramEnd"/>
            <w:r w:rsidRPr="007D324B">
              <w:rPr>
                <w:rFonts w:eastAsia="SimSun"/>
                <w:sz w:val="20"/>
                <w:szCs w:val="20"/>
                <w:vertAlign w:val="subscript"/>
                <w:lang w:eastAsia="ar-SA"/>
              </w:rPr>
              <w:t>ент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ех.обсл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4</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w:t>
            </w:r>
            <w:r w:rsidRPr="007D324B">
              <w:rPr>
                <w:rFonts w:eastAsia="SimSun"/>
                <w:sz w:val="20"/>
                <w:szCs w:val="20"/>
                <w:lang w:eastAsia="ar-SA"/>
              </w:rPr>
              <w:lastRenderedPageBreak/>
              <w:t xml:space="preserve">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41"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2.2.1</w:t>
              </w:r>
            </w:hyperlink>
            <w:r w:rsidRPr="007D324B">
              <w:rPr>
                <w:rFonts w:eastAsia="SimSun"/>
                <w:sz w:val="20"/>
                <w:szCs w:val="20"/>
                <w:lang w:eastAsia="ar-SA"/>
              </w:rPr>
              <w:t xml:space="preserve">,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2.3.14</w:t>
              </w:r>
            </w:hyperlink>
            <w:r w:rsidRPr="007D324B">
              <w:rPr>
                <w:rFonts w:eastAsia="SimSun"/>
                <w:sz w:val="20"/>
                <w:szCs w:val="20"/>
                <w:lang w:eastAsia="ar-SA"/>
              </w:rPr>
              <w:t xml:space="preserve">, </w:t>
            </w:r>
            <w:hyperlink r:id="rId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9.1.53</w:t>
              </w:r>
            </w:hyperlink>
            <w:r w:rsidRPr="007D324B">
              <w:rPr>
                <w:rFonts w:eastAsia="SimSun"/>
                <w:sz w:val="20"/>
                <w:szCs w:val="20"/>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9.2.9</w:t>
              </w:r>
            </w:hyperlink>
            <w:r w:rsidRPr="007D324B">
              <w:rPr>
                <w:rFonts w:eastAsia="SimSun"/>
                <w:sz w:val="20"/>
                <w:szCs w:val="20"/>
                <w:lang w:eastAsia="ar-SA"/>
              </w:rPr>
              <w:t xml:space="preserve">, </w:t>
            </w:r>
            <w:hyperlink r:id="rId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9.2.10</w:t>
              </w:r>
            </w:hyperlink>
            <w:r w:rsidRPr="007D324B">
              <w:rPr>
                <w:rFonts w:eastAsia="SimSun"/>
                <w:sz w:val="20"/>
                <w:szCs w:val="20"/>
                <w:lang w:eastAsia="ar-SA"/>
              </w:rPr>
              <w:t xml:space="preserve">, </w:t>
            </w:r>
            <w:hyperlink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9.2.12</w:t>
              </w:r>
            </w:hyperlink>
            <w:r w:rsidRPr="007D324B">
              <w:rPr>
                <w:rFonts w:eastAsia="SimSun"/>
                <w:sz w:val="20"/>
                <w:szCs w:val="20"/>
                <w:lang w:eastAsia="ar-SA"/>
              </w:rPr>
              <w:t xml:space="preserve">,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9.2.13</w:t>
              </w:r>
            </w:hyperlink>
            <w:r w:rsidRPr="007D324B">
              <w:rPr>
                <w:rFonts w:eastAsia="SimSun"/>
                <w:sz w:val="20"/>
                <w:szCs w:val="20"/>
                <w:lang w:eastAsia="ar-SA"/>
              </w:rPr>
              <w:t xml:space="preserve">,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9.2.20</w:t>
              </w:r>
            </w:hyperlink>
            <w:r w:rsidRPr="007D324B">
              <w:rPr>
                <w:rFonts w:eastAsia="SimSun"/>
                <w:sz w:val="20"/>
                <w:szCs w:val="20"/>
                <w:lang w:eastAsia="ar-SA"/>
              </w:rPr>
              <w:t xml:space="preserve">,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9.3.10</w:t>
              </w:r>
            </w:hyperlink>
            <w:r w:rsidRPr="007D324B">
              <w:rPr>
                <w:rFonts w:eastAsia="SimSun"/>
                <w:sz w:val="20"/>
                <w:szCs w:val="20"/>
                <w:lang w:eastAsia="ar-SA"/>
              </w:rPr>
              <w:t xml:space="preserve">,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9.3.11</w:t>
              </w:r>
            </w:hyperlink>
            <w:r w:rsidRPr="007D324B">
              <w:rPr>
                <w:rFonts w:eastAsia="SimSun"/>
                <w:sz w:val="20"/>
                <w:szCs w:val="20"/>
                <w:lang w:eastAsia="ar-SA"/>
              </w:rPr>
              <w:t xml:space="preserve">,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9.3.19</w:t>
              </w:r>
            </w:hyperlink>
            <w:r w:rsidRPr="007D324B">
              <w:rPr>
                <w:rFonts w:eastAsia="SimSun"/>
                <w:sz w:val="20"/>
                <w:szCs w:val="20"/>
                <w:lang w:eastAsia="ar-SA"/>
              </w:rPr>
              <w:t xml:space="preserve">,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9.3.24</w:t>
              </w:r>
            </w:hyperlink>
            <w:r w:rsidRPr="007D324B">
              <w:rPr>
                <w:rFonts w:eastAsia="SimSun"/>
                <w:sz w:val="20"/>
                <w:szCs w:val="20"/>
                <w:lang w:eastAsia="ar-SA"/>
              </w:rPr>
              <w:t xml:space="preserve">,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Правил технической эксплуатации тепловых </w:t>
            </w:r>
            <w:r w:rsidRPr="007D324B">
              <w:rPr>
                <w:rFonts w:eastAsia="SimSun"/>
                <w:sz w:val="20"/>
                <w:szCs w:val="20"/>
                <w:lang w:eastAsia="ar-SA"/>
              </w:rPr>
              <w:lastRenderedPageBreak/>
              <w:t xml:space="preserve">энергоустановок, </w:t>
            </w:r>
            <w:hyperlink r:id="rId6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6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w:t>
            </w:r>
            <w:proofErr w:type="gramStart"/>
            <w:r w:rsidRPr="007D324B">
              <w:rPr>
                <w:rFonts w:eastAsia="SimSun"/>
                <w:sz w:val="20"/>
                <w:szCs w:val="20"/>
                <w:lang w:eastAsia="ar-SA"/>
              </w:rPr>
              <w:t>Правил)</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7D324B">
              <w:rPr>
                <w:rFonts w:eastAsia="SimSun"/>
                <w:sz w:val="20"/>
                <w:szCs w:val="20"/>
                <w:lang w:eastAsia="ar-SA"/>
              </w:rP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 о теплоснабжении и </w:t>
            </w:r>
            <w:hyperlink r:id="rId68"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w:t>
            </w:r>
            <w:proofErr w:type="gramEnd"/>
            <w:r w:rsidRPr="007D324B">
              <w:rPr>
                <w:rFonts w:eastAsia="SimSun"/>
                <w:sz w:val="20"/>
                <w:szCs w:val="20"/>
                <w:lang w:eastAsia="ar-SA"/>
              </w:rPr>
              <w:t xml:space="preserve"> промышленной безопасности), в комиссию по оценке готовности к отопительному периоду</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и составленного с учетом </w:t>
            </w:r>
            <w:hyperlink r:id="rId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11.1</w:t>
              </w:r>
            </w:hyperlink>
            <w:r w:rsidRPr="007D324B">
              <w:rPr>
                <w:rFonts w:eastAsia="SimSun"/>
                <w:sz w:val="20"/>
                <w:szCs w:val="20"/>
                <w:lang w:eastAsia="ar-SA"/>
              </w:rP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sidRPr="007D324B">
                <w:rPr>
                  <w:rFonts w:eastAsia="SimSun"/>
                  <w:color w:val="0000FF"/>
                  <w:sz w:val="20"/>
                  <w:szCs w:val="20"/>
                  <w:lang w:eastAsia="ar-SA"/>
                </w:rPr>
                <w:t>подпункт 11.5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утвержденного плана подготовки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Pr="007D324B" w:rsidRDefault="007D324B" w:rsidP="007D324B">
      <w:pPr>
        <w:rPr>
          <w:sz w:val="28"/>
          <w:szCs w:val="28"/>
          <w:lang w:eastAsia="ru-RU"/>
        </w:rPr>
        <w:sectPr w:rsidR="007D324B" w:rsidRPr="007D324B" w:rsidSect="00F508B6">
          <w:pgSz w:w="16920" w:h="12100" w:orient="landscape"/>
          <w:pgMar w:top="1134" w:right="567" w:bottom="567" w:left="284" w:header="0" w:footer="0" w:gutter="0"/>
          <w:cols w:space="720"/>
        </w:sectPr>
      </w:pPr>
    </w:p>
    <w:p w:rsidR="007D324B" w:rsidRDefault="007D324B" w:rsidP="0008726A">
      <w:pPr>
        <w:rPr>
          <w:b/>
          <w:sz w:val="28"/>
          <w:szCs w:val="28"/>
          <w:lang w:eastAsia="ar-SA"/>
        </w:rPr>
      </w:pPr>
    </w:p>
    <w:sectPr w:rsidR="007D324B" w:rsidSect="0008726A">
      <w:pgSz w:w="12100" w:h="16920"/>
      <w:pgMar w:top="567" w:right="851" w:bottom="28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9C" w:rsidRDefault="00BD619C">
      <w:r>
        <w:separator/>
      </w:r>
    </w:p>
  </w:endnote>
  <w:endnote w:type="continuationSeparator" w:id="0">
    <w:p w:rsidR="00BD619C" w:rsidRDefault="00BD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9C" w:rsidRDefault="00BD619C">
      <w:r>
        <w:separator/>
      </w:r>
    </w:p>
  </w:footnote>
  <w:footnote w:type="continuationSeparator" w:id="0">
    <w:p w:rsidR="00BD619C" w:rsidRDefault="00BD6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4B1C"/>
    <w:rsid w:val="00174BF8"/>
    <w:rsid w:val="001A5FBD"/>
    <w:rsid w:val="001C32A8"/>
    <w:rsid w:val="001C7CE2"/>
    <w:rsid w:val="001E041C"/>
    <w:rsid w:val="001E35D1"/>
    <w:rsid w:val="001E53E5"/>
    <w:rsid w:val="002013D6"/>
    <w:rsid w:val="0021412F"/>
    <w:rsid w:val="002147F8"/>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F2E0C"/>
    <w:rsid w:val="009110D2"/>
    <w:rsid w:val="0091230E"/>
    <w:rsid w:val="009145DB"/>
    <w:rsid w:val="00920D16"/>
    <w:rsid w:val="00926276"/>
    <w:rsid w:val="00975212"/>
    <w:rsid w:val="00980213"/>
    <w:rsid w:val="009A7968"/>
    <w:rsid w:val="009C247C"/>
    <w:rsid w:val="009E2B11"/>
    <w:rsid w:val="009E4ABA"/>
    <w:rsid w:val="00A24EB9"/>
    <w:rsid w:val="00A333F8"/>
    <w:rsid w:val="00A36785"/>
    <w:rsid w:val="00A86219"/>
    <w:rsid w:val="00AA6F08"/>
    <w:rsid w:val="00AB405C"/>
    <w:rsid w:val="00B0593F"/>
    <w:rsid w:val="00B562C1"/>
    <w:rsid w:val="00B63641"/>
    <w:rsid w:val="00B671A3"/>
    <w:rsid w:val="00B7410F"/>
    <w:rsid w:val="00BA4658"/>
    <w:rsid w:val="00BC57DD"/>
    <w:rsid w:val="00BD2261"/>
    <w:rsid w:val="00BD619C"/>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41E47"/>
    <w:rsid w:val="00E64863"/>
    <w:rsid w:val="00E727C9"/>
    <w:rsid w:val="00ED261A"/>
    <w:rsid w:val="00EE5081"/>
    <w:rsid w:val="00F3276D"/>
    <w:rsid w:val="00F36209"/>
    <w:rsid w:val="00F508B6"/>
    <w:rsid w:val="00F606DC"/>
    <w:rsid w:val="00F63BDF"/>
    <w:rsid w:val="00F65A0F"/>
    <w:rsid w:val="00F737E5"/>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239&amp;date=05.02.2025&amp;dst=543&amp;field=134" TargetMode="External"/><Relationship Id="rId18" Type="http://schemas.openxmlformats.org/officeDocument/2006/relationships/hyperlink" Target="https://login.consultant.ru/link/?req=doc&amp;base=LAW&amp;n=373204&amp;date=05.02.2025&amp;dst=100815&amp;field=134" TargetMode="External"/><Relationship Id="rId26" Type="http://schemas.openxmlformats.org/officeDocument/2006/relationships/hyperlink" Target="https://login.consultant.ru/link/?req=doc&amp;base=LAW&amp;n=41812&amp;date=05.02.2025&amp;dst=101622&amp;field=134" TargetMode="External"/><Relationship Id="rId39" Type="http://schemas.openxmlformats.org/officeDocument/2006/relationships/hyperlink" Target="https://login.consultant.ru/link/?req=doc&amp;base=LAW&amp;n=218515&amp;date=05.02.2025&amp;dst=100037&amp;field=134" TargetMode="External"/><Relationship Id="rId21" Type="http://schemas.openxmlformats.org/officeDocument/2006/relationships/hyperlink" Target="https://login.consultant.ru/link/?req=doc&amp;base=LAW&amp;n=373204&amp;date=05.02.2025&amp;dst=100981&amp;field=134" TargetMode="External"/><Relationship Id="rId34" Type="http://schemas.openxmlformats.org/officeDocument/2006/relationships/hyperlink" Target="https://login.consultant.ru/link/?req=doc&amp;base=LAW&amp;n=44772&amp;date=05.02.2025&amp;dst=100012&amp;field=134" TargetMode="External"/><Relationship Id="rId42" Type="http://schemas.openxmlformats.org/officeDocument/2006/relationships/hyperlink" Target="https://login.consultant.ru/link/?req=doc&amp;base=LAW&amp;n=41812&amp;date=05.02.2025&amp;dst=100072&amp;field=134" TargetMode="External"/><Relationship Id="rId47" Type="http://schemas.openxmlformats.org/officeDocument/2006/relationships/hyperlink" Target="https://login.consultant.ru/link/?req=doc&amp;base=LAW&amp;n=41812&amp;date=05.02.2025&amp;dst=101187&amp;field=134" TargetMode="External"/><Relationship Id="rId50" Type="http://schemas.openxmlformats.org/officeDocument/2006/relationships/hyperlink" Target="https://login.consultant.ru/link/?req=doc&amp;base=LAW&amp;n=41812&amp;date=05.02.2025&amp;dst=101552&amp;field=134" TargetMode="External"/><Relationship Id="rId55" Type="http://schemas.openxmlformats.org/officeDocument/2006/relationships/hyperlink" Target="https://login.consultant.ru/link/?req=doc&amp;base=LAW&amp;n=41812&amp;date=05.02.2025&amp;dst=101600&amp;field=134" TargetMode="External"/><Relationship Id="rId63" Type="http://schemas.openxmlformats.org/officeDocument/2006/relationships/hyperlink" Target="https://login.consultant.ru/link/?req=doc&amp;base=LAW&amp;n=373204&amp;date=05.02.2025&amp;dst=101342&amp;field=134" TargetMode="External"/><Relationship Id="rId68" Type="http://schemas.openxmlformats.org/officeDocument/2006/relationships/hyperlink" Target="https://login.consultant.ru/link/?req=doc&amp;base=LAW&amp;n=483176&amp;date=05.02.2025&amp;dst=331&amp;field=134"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1812&amp;date=05.02.2025&amp;dst=100062&amp;field=134" TargetMode="External"/><Relationship Id="rId29" Type="http://schemas.openxmlformats.org/officeDocument/2006/relationships/hyperlink" Target="https://login.consultant.ru/link/?req=doc&amp;base=LAW&amp;n=483239&amp;date=05.02.2025&amp;dst=54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239&amp;date=05.02.2025" TargetMode="External"/><Relationship Id="rId24" Type="http://schemas.openxmlformats.org/officeDocument/2006/relationships/hyperlink" Target="https://login.consultant.ru/link/?req=doc&amp;base=LAW&amp;n=373204&amp;date=05.02.2025&amp;dst=100981&amp;field=134" TargetMode="External"/><Relationship Id="rId32" Type="http://schemas.openxmlformats.org/officeDocument/2006/relationships/hyperlink" Target="https://login.consultant.ru/link/?req=doc&amp;base=LAW&amp;n=401404&amp;date=05.02.2025&amp;dst=100197&amp;field=134" TargetMode="External"/><Relationship Id="rId37" Type="http://schemas.openxmlformats.org/officeDocument/2006/relationships/hyperlink" Target="https://login.consultant.ru/link/?req=doc&amp;base=LAW&amp;n=441707&amp;date=05.02.2025&amp;dst=100137&amp;field=134" TargetMode="External"/><Relationship Id="rId40" Type="http://schemas.openxmlformats.org/officeDocument/2006/relationships/hyperlink" Target="https://login.consultant.ru/link/?req=doc&amp;base=LAW&amp;n=483239&amp;date=05.02.2025&amp;dst=314&amp;field=134" TargetMode="External"/><Relationship Id="rId45" Type="http://schemas.openxmlformats.org/officeDocument/2006/relationships/hyperlink" Target="https://login.consultant.ru/link/?req=doc&amp;base=LAW&amp;n=41812&amp;date=05.02.2025&amp;dst=100377&amp;field=134" TargetMode="External"/><Relationship Id="rId53" Type="http://schemas.openxmlformats.org/officeDocument/2006/relationships/hyperlink" Target="https://login.consultant.ru/link/?req=doc&amp;base=LAW&amp;n=41812&amp;date=05.02.2025&amp;dst=101584&amp;field=134" TargetMode="External"/><Relationship Id="rId58" Type="http://schemas.openxmlformats.org/officeDocument/2006/relationships/hyperlink" Target="https://login.consultant.ru/link/?req=doc&amp;base=LAW&amp;n=41812&amp;date=05.02.2025&amp;dst=101635&amp;field=134" TargetMode="External"/><Relationship Id="rId66" Type="http://schemas.openxmlformats.org/officeDocument/2006/relationships/hyperlink" Target="https://login.consultant.ru/link/?req=doc&amp;base=LAW&amp;n=373204&amp;date=05.02.2025&amp;dst=101375&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1812&amp;date=05.02.2025&amp;dst=101635&amp;field=134" TargetMode="External"/><Relationship Id="rId23" Type="http://schemas.openxmlformats.org/officeDocument/2006/relationships/hyperlink" Target="https://login.consultant.ru/link/?req=doc&amp;base=LAW&amp;n=41812&amp;date=05.02.2025&amp;dst=100071&amp;field=134" TargetMode="External"/><Relationship Id="rId28" Type="http://schemas.openxmlformats.org/officeDocument/2006/relationships/hyperlink" Target="https://login.consultant.ru/link/?req=doc&amp;base=LAW&amp;n=483239&amp;date=05.02.2025&amp;dst=544&amp;field=134" TargetMode="External"/><Relationship Id="rId36" Type="http://schemas.openxmlformats.org/officeDocument/2006/relationships/hyperlink" Target="https://login.consultant.ru/link/?req=doc&amp;base=LAW&amp;n=44772&amp;date=05.02.2025&amp;dst=101009&amp;field=134" TargetMode="External"/><Relationship Id="rId49" Type="http://schemas.openxmlformats.org/officeDocument/2006/relationships/hyperlink" Target="https://login.consultant.ru/link/?req=doc&amp;base=LAW&amp;n=41812&amp;date=05.02.2025&amp;dst=101548&amp;field=134" TargetMode="External"/><Relationship Id="rId57" Type="http://schemas.openxmlformats.org/officeDocument/2006/relationships/hyperlink" Target="https://login.consultant.ru/link/?req=doc&amp;base=LAW&amp;n=41812&amp;date=05.02.2025&amp;dst=101633&amp;field=134" TargetMode="External"/><Relationship Id="rId61" Type="http://schemas.openxmlformats.org/officeDocument/2006/relationships/hyperlink" Target="https://login.consultant.ru/link/?req=doc&amp;base=LAW&amp;n=41812&amp;date=05.02.2025&amp;dst=101916&amp;field=134" TargetMode="External"/><Relationship Id="rId10" Type="http://schemas.openxmlformats.org/officeDocument/2006/relationships/hyperlink" Target="https://login.consultant.ru/link/?req=doc&amp;base=LAW&amp;n=483239&amp;date=05.02.2025&amp;dst=542&amp;field=134" TargetMode="External"/><Relationship Id="rId19" Type="http://schemas.openxmlformats.org/officeDocument/2006/relationships/hyperlink" Target="https://login.consultant.ru/link/?req=doc&amp;base=LAW&amp;n=41812&amp;date=05.02.2025&amp;dst=101332&amp;field=134" TargetMode="External"/><Relationship Id="rId31" Type="http://schemas.openxmlformats.org/officeDocument/2006/relationships/hyperlink" Target="https://login.consultant.ru/link/?req=doc&amp;base=LAW&amp;n=483239&amp;date=05.02.2025&amp;dst=546&amp;field=134" TargetMode="External"/><Relationship Id="rId44" Type="http://schemas.openxmlformats.org/officeDocument/2006/relationships/hyperlink" Target="https://login.consultant.ru/link/?req=doc&amp;base=LAW&amp;n=41812&amp;date=05.02.2025&amp;dst=100167&amp;field=134" TargetMode="External"/><Relationship Id="rId52" Type="http://schemas.openxmlformats.org/officeDocument/2006/relationships/hyperlink" Target="https://login.consultant.ru/link/?req=doc&amp;base=LAW&amp;n=41812&amp;date=05.02.2025&amp;dst=101555&amp;field=134" TargetMode="External"/><Relationship Id="rId60" Type="http://schemas.openxmlformats.org/officeDocument/2006/relationships/hyperlink" Target="https://login.consultant.ru/link/?req=doc&amp;base=LAW&amp;n=41812&amp;date=05.02.2025&amp;dst=101909&amp;field=134" TargetMode="External"/><Relationship Id="rId65" Type="http://schemas.openxmlformats.org/officeDocument/2006/relationships/hyperlink" Target="https://login.consultant.ru/link/?req=doc&amp;base=LAW&amp;n=373204&amp;date=05.02.2025&amp;dst=101360&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787&amp;date=05.02.2025&amp;dst=444&amp;field=134" TargetMode="External"/><Relationship Id="rId14" Type="http://schemas.openxmlformats.org/officeDocument/2006/relationships/hyperlink" Target="https://login.consultant.ru/link/?req=doc&amp;base=LAW&amp;n=41812&amp;date=05.02.2025&amp;dst=101548&amp;field=134" TargetMode="External"/><Relationship Id="rId22" Type="http://schemas.openxmlformats.org/officeDocument/2006/relationships/hyperlink" Target="https://login.consultant.ru/link/?req=doc&amp;base=LAW&amp;n=41812&amp;date=05.02.2025&amp;dst=100387&amp;field=134" TargetMode="External"/><Relationship Id="rId27" Type="http://schemas.openxmlformats.org/officeDocument/2006/relationships/hyperlink" Target="https://login.consultant.ru/link/?req=doc&amp;base=LAW&amp;n=41812&amp;date=05.02.2025&amp;dst=101670&amp;field=134" TargetMode="External"/><Relationship Id="rId30" Type="http://schemas.openxmlformats.org/officeDocument/2006/relationships/hyperlink" Target="https://login.consultant.ru/link/?req=doc&amp;base=LAW&amp;n=483239&amp;date=05.02.2025&amp;dst=100300&amp;field=134" TargetMode="External"/><Relationship Id="rId35" Type="http://schemas.openxmlformats.org/officeDocument/2006/relationships/hyperlink" Target="https://login.consultant.ru/link/?req=doc&amp;base=LAW&amp;n=44772&amp;date=05.02.2025&amp;dst=100173&amp;field=134" TargetMode="External"/><Relationship Id="rId43" Type="http://schemas.openxmlformats.org/officeDocument/2006/relationships/hyperlink" Target="https://login.consultant.ru/link/?req=doc&amp;base=LAW&amp;n=41812&amp;date=05.02.2025&amp;dst=100164&amp;field=134" TargetMode="External"/><Relationship Id="rId48" Type="http://schemas.openxmlformats.org/officeDocument/2006/relationships/hyperlink" Target="https://login.consultant.ru/link/?req=doc&amp;base=LAW&amp;n=41812&amp;date=05.02.2025&amp;dst=101516&amp;field=134" TargetMode="External"/><Relationship Id="rId56" Type="http://schemas.openxmlformats.org/officeDocument/2006/relationships/hyperlink" Target="https://login.consultant.ru/link/?req=doc&amp;base=LAW&amp;n=41812&amp;date=05.02.2025&amp;dst=101619&amp;field=134" TargetMode="External"/><Relationship Id="rId64" Type="http://schemas.openxmlformats.org/officeDocument/2006/relationships/hyperlink" Target="https://login.consultant.ru/link/?req=doc&amp;base=LAW&amp;n=373204&amp;date=05.02.2025&amp;dst=101352&amp;field=134" TargetMode="External"/><Relationship Id="rId69" Type="http://schemas.openxmlformats.org/officeDocument/2006/relationships/hyperlink" Target="https://login.consultant.ru/link/?req=doc&amp;base=LAW&amp;n=41812&amp;date=05.02.2025&amp;dst=101909&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1812&amp;date=05.02.2025&amp;dst=101554&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83239&amp;date=05.02.2025&amp;dst=276&amp;field=134" TargetMode="External"/><Relationship Id="rId17" Type="http://schemas.openxmlformats.org/officeDocument/2006/relationships/hyperlink" Target="https://login.consultant.ru/link/?req=doc&amp;base=LAW&amp;n=41812&amp;date=05.02.2025&amp;dst=100063&amp;field=134" TargetMode="External"/><Relationship Id="rId25" Type="http://schemas.openxmlformats.org/officeDocument/2006/relationships/hyperlink" Target="https://login.consultant.ru/link/?req=doc&amp;base=LAW&amp;n=41812&amp;date=05.02.2025&amp;dst=101377&amp;field=134" TargetMode="External"/><Relationship Id="rId33" Type="http://schemas.openxmlformats.org/officeDocument/2006/relationships/hyperlink" Target="https://login.consultant.ru/link/?req=doc&amp;base=LAW&amp;n=44772&amp;date=05.02.2025&amp;dst=100012&amp;field=134" TargetMode="External"/><Relationship Id="rId38" Type="http://schemas.openxmlformats.org/officeDocument/2006/relationships/hyperlink" Target="https://login.consultant.ru/link/?req=doc&amp;base=LAW&amp;n=441707&amp;date=05.02.2025&amp;dst=100137&amp;field=134" TargetMode="External"/><Relationship Id="rId46" Type="http://schemas.openxmlformats.org/officeDocument/2006/relationships/hyperlink" Target="https://login.consultant.ru/link/?req=doc&amp;base=LAW&amp;n=41812&amp;date=05.02.2025&amp;dst=101169&amp;field=134" TargetMode="External"/><Relationship Id="rId59" Type="http://schemas.openxmlformats.org/officeDocument/2006/relationships/hyperlink" Target="https://login.consultant.ru/link/?req=doc&amp;base=LAW&amp;n=41812&amp;date=05.02.2025&amp;dst=101717&amp;field=134" TargetMode="External"/><Relationship Id="rId67" Type="http://schemas.openxmlformats.org/officeDocument/2006/relationships/hyperlink" Target="https://login.consultant.ru/link/?req=doc&amp;base=LAW&amp;n=483239&amp;date=05.02.2025&amp;dst=314&amp;field=134" TargetMode="External"/><Relationship Id="rId20" Type="http://schemas.openxmlformats.org/officeDocument/2006/relationships/hyperlink" Target="https://login.consultant.ru/link/?req=doc&amp;base=LAW&amp;n=41812&amp;date=05.02.2025&amp;dst=101531&amp;field=134" TargetMode="External"/><Relationship Id="rId41" Type="http://schemas.openxmlformats.org/officeDocument/2006/relationships/hyperlink" Target="https://login.consultant.ru/link/?req=doc&amp;base=LAW&amp;n=483176&amp;date=05.02.2025&amp;dst=331&amp;field=134" TargetMode="External"/><Relationship Id="rId54" Type="http://schemas.openxmlformats.org/officeDocument/2006/relationships/hyperlink" Target="https://login.consultant.ru/link/?req=doc&amp;base=LAW&amp;n=41812&amp;date=05.02.2025&amp;dst=101598&amp;field=134" TargetMode="External"/><Relationship Id="rId62" Type="http://schemas.openxmlformats.org/officeDocument/2006/relationships/hyperlink" Target="https://login.consultant.ru/link/?req=doc&amp;base=LAW&amp;n=41812&amp;date=05.02.2025&amp;dst=101920&amp;field=134"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50144-DF32-49F7-8CB1-011FC942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34</TotalTime>
  <Pages>1</Pages>
  <Words>7501</Words>
  <Characters>42758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7</cp:revision>
  <cp:lastPrinted>2025-06-11T05:53:00Z</cp:lastPrinted>
  <dcterms:created xsi:type="dcterms:W3CDTF">2025-06-10T06:28:00Z</dcterms:created>
  <dcterms:modified xsi:type="dcterms:W3CDTF">2025-06-25T07:09:00Z</dcterms:modified>
</cp:coreProperties>
</file>