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41" w:rsidRDefault="006A6D41"/>
    <w:p w:rsidR="006A6D41" w:rsidRDefault="006A6D41"/>
    <w:tbl>
      <w:tblPr>
        <w:tblStyle w:val="a6"/>
        <w:tblpPr w:leftFromText="180" w:rightFromText="180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6419"/>
      </w:tblGrid>
      <w:tr w:rsidR="006A6D41" w:rsidTr="006A6D41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6A6D41" w:rsidRDefault="006A6D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</w:t>
            </w:r>
          </w:p>
          <w:p w:rsidR="006A6D41" w:rsidRDefault="006A6D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Администрации Семикаракорского городского поселения </w:t>
            </w:r>
          </w:p>
          <w:p w:rsidR="006A6D41" w:rsidRDefault="006A6D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25.03.2022 № 179 </w:t>
            </w:r>
          </w:p>
          <w:p w:rsidR="006A6D41" w:rsidRDefault="006A6D41">
            <w:pPr>
              <w:ind w:left="6096"/>
              <w:jc w:val="right"/>
              <w:rPr>
                <w:szCs w:val="28"/>
                <w:lang w:eastAsia="en-US"/>
              </w:rPr>
            </w:pPr>
          </w:p>
          <w:p w:rsidR="006A6D41" w:rsidRDefault="006A6D41">
            <w:pPr>
              <w:ind w:left="6096"/>
              <w:jc w:val="right"/>
              <w:rPr>
                <w:szCs w:val="28"/>
                <w:lang w:eastAsia="en-US"/>
              </w:rPr>
            </w:pPr>
          </w:p>
        </w:tc>
      </w:tr>
    </w:tbl>
    <w:p w:rsidR="006A6D41" w:rsidRDefault="006A6D41" w:rsidP="006A6D41">
      <w:pPr>
        <w:jc w:val="center"/>
        <w:rPr>
          <w:sz w:val="28"/>
          <w:szCs w:val="28"/>
        </w:rPr>
      </w:pPr>
    </w:p>
    <w:p w:rsidR="006A6D41" w:rsidRDefault="006A6D41" w:rsidP="006A6D41">
      <w:pPr>
        <w:jc w:val="center"/>
        <w:rPr>
          <w:sz w:val="28"/>
          <w:szCs w:val="28"/>
        </w:rPr>
      </w:pPr>
    </w:p>
    <w:p w:rsidR="006A6D41" w:rsidRDefault="006A6D41" w:rsidP="006A6D41">
      <w:pPr>
        <w:jc w:val="center"/>
        <w:rPr>
          <w:sz w:val="28"/>
          <w:szCs w:val="28"/>
        </w:rPr>
      </w:pPr>
    </w:p>
    <w:p w:rsidR="006A6D41" w:rsidRDefault="006A6D41" w:rsidP="006A6D41">
      <w:pPr>
        <w:jc w:val="center"/>
        <w:rPr>
          <w:sz w:val="28"/>
          <w:szCs w:val="28"/>
        </w:rPr>
      </w:pPr>
    </w:p>
    <w:p w:rsidR="006A6D41" w:rsidRDefault="006A6D41" w:rsidP="006A6D41">
      <w:pPr>
        <w:jc w:val="center"/>
        <w:rPr>
          <w:sz w:val="28"/>
          <w:szCs w:val="28"/>
        </w:rPr>
      </w:pPr>
    </w:p>
    <w:p w:rsidR="006A6D41" w:rsidRDefault="006A6D41" w:rsidP="006A6D41">
      <w:pPr>
        <w:jc w:val="center"/>
        <w:rPr>
          <w:sz w:val="28"/>
          <w:szCs w:val="28"/>
        </w:rPr>
      </w:pPr>
    </w:p>
    <w:p w:rsidR="006A6D41" w:rsidRDefault="006A6D41" w:rsidP="006A6D41">
      <w:pPr>
        <w:jc w:val="both"/>
        <w:rPr>
          <w:szCs w:val="28"/>
        </w:rPr>
      </w:pPr>
    </w:p>
    <w:p w:rsidR="006A6D41" w:rsidRDefault="006A6D41" w:rsidP="006A6D41">
      <w:pPr>
        <w:jc w:val="center"/>
        <w:rPr>
          <w:sz w:val="28"/>
          <w:szCs w:val="28"/>
        </w:rPr>
      </w:pPr>
    </w:p>
    <w:p w:rsidR="006A6D41" w:rsidRDefault="006A6D41" w:rsidP="006A6D4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6A6D41" w:rsidRDefault="006A6D41" w:rsidP="006A6D41">
      <w:pPr>
        <w:jc w:val="center"/>
        <w:rPr>
          <w:sz w:val="26"/>
          <w:szCs w:val="26"/>
        </w:rPr>
      </w:pPr>
    </w:p>
    <w:p w:rsidR="006A6D41" w:rsidRDefault="006A6D41" w:rsidP="006A6D41">
      <w:pPr>
        <w:ind w:left="-28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>Администрация Семикаракорского городского поселения извещает о проведении открытого аукциона в электронной форме на право размещения нестационарного торгового объекта на территории Семикаракорского городского поселения.</w:t>
      </w:r>
    </w:p>
    <w:p w:rsidR="006A6D41" w:rsidRDefault="006A6D41" w:rsidP="006A6D4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Организатор приглашает всех лиц, заинтересованных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о размещении нестационарного торгового объекта на территории Семикаракорского городского поселения подавать заявки на участие в электронном аукционе, информация о котором указана ниже, в соответствии с предметом аукциона (лотами) и в соответствии с процедурами, приведенными в настоящем извещении. </w:t>
      </w:r>
    </w:p>
    <w:p w:rsidR="006A6D41" w:rsidRDefault="006A6D41" w:rsidP="006A6D4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Аукцион проводится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  законом  от  28.12.2009  № 381-ФЗ «Об основах государственного регулирования  торговой  деятельности  в Российской Федерации», постановлением Правительства Ростовской области от 18.09.2015 № 583 «О некоторых вопросах, связанных с размещением нестационарных торговых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методическими  рекомендациями, разработанными департаментом потребительского рынка Ростовской области по вопросам, связанным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разграничена», постановлением Администрации Семикаракорского района от 23.03.2022 № 363 «Об утверждении схемы размещения нестационарных торговых объектов на территории Семикаракорского района», постановлением Администрации Семикаракорского городского поселения от 29.12.2021 № 262 «Об утверждении Порядка организации и проведения открытого аукциона в электронной форме на право размещения нестационарного торгового объекта на территории Семикаракорского городского поселения», Уставом муниципального образования «</w:t>
      </w:r>
      <w:proofErr w:type="spellStart"/>
      <w:r>
        <w:rPr>
          <w:sz w:val="28"/>
          <w:szCs w:val="28"/>
        </w:rPr>
        <w:t>Семикаракорское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ab/>
      </w:r>
      <w:proofErr w:type="gramEnd"/>
    </w:p>
    <w:p w:rsidR="006A6D41" w:rsidRDefault="006A6D41" w:rsidP="006A6D41">
      <w:pPr>
        <w:jc w:val="both"/>
        <w:rPr>
          <w:sz w:val="28"/>
          <w:szCs w:val="28"/>
        </w:rPr>
      </w:pPr>
    </w:p>
    <w:p w:rsidR="006A6D41" w:rsidRDefault="006A6D41" w:rsidP="006A6D41">
      <w:pPr>
        <w:jc w:val="center"/>
        <w:rPr>
          <w:sz w:val="24"/>
          <w:szCs w:val="24"/>
        </w:rPr>
      </w:pPr>
    </w:p>
    <w:p w:rsidR="006A6D41" w:rsidRDefault="006A6D41" w:rsidP="006A6D41">
      <w:pPr>
        <w:jc w:val="center"/>
        <w:rPr>
          <w:sz w:val="24"/>
          <w:szCs w:val="24"/>
        </w:rPr>
      </w:pPr>
    </w:p>
    <w:p w:rsidR="006A6D41" w:rsidRDefault="006A6D41" w:rsidP="006A6D41">
      <w:pPr>
        <w:jc w:val="center"/>
        <w:rPr>
          <w:sz w:val="24"/>
          <w:szCs w:val="24"/>
        </w:rPr>
      </w:pPr>
    </w:p>
    <w:p w:rsidR="006A6D41" w:rsidRDefault="006A6D41" w:rsidP="006A6D41">
      <w:pPr>
        <w:jc w:val="center"/>
        <w:rPr>
          <w:sz w:val="24"/>
          <w:szCs w:val="24"/>
        </w:rPr>
      </w:pPr>
    </w:p>
    <w:p w:rsidR="006A6D41" w:rsidRDefault="006A6D41" w:rsidP="006A6D41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5"/>
        <w:gridCol w:w="3443"/>
        <w:gridCol w:w="5403"/>
      </w:tblGrid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информации</w:t>
            </w: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торгов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 на размещение нестационарного торгового объекта на земельных участках, в зданиях, строениях сооружениях, находящихся в муниципальной собственности, а также на землях или земельных участках, государственная собственность на которые не разграничена, находящихся на территории Семикаракорского городского поселения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Семикаракорского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25.03.2022 № 179 «О проведении открытого аукциона в электронной форме на право размещения нестационарного торгового объекта на территории Семикаракорского городского поселения»</w:t>
            </w:r>
          </w:p>
          <w:p w:rsidR="006A6D41" w:rsidRDefault="006A6D41">
            <w:pPr>
              <w:ind w:left="10" w:firstLine="294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rPr>
          <w:trHeight w:val="111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ind w:left="-1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организатора</w:t>
            </w:r>
            <w:r>
              <w:rPr>
                <w:sz w:val="24"/>
                <w:szCs w:val="24"/>
                <w:lang w:eastAsia="en-US"/>
              </w:rPr>
              <w:tab/>
              <w:t xml:space="preserve">электронного аукциона 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Семикаракорского городского поселения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Почтовый адрес: 346630, Ростовская область, 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>, улица Ленина, 138.</w:t>
            </w:r>
          </w:p>
        </w:tc>
      </w:tr>
      <w:tr w:rsidR="006A6D41" w:rsidTr="006A6D41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346630, Ростовская область, 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>, улица Ленина, 138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организатора аукциона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8(86356) 41637</w:t>
            </w:r>
          </w:p>
        </w:tc>
      </w:tr>
      <w:tr w:rsidR="006A6D41" w:rsidTr="006A6D41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электронной почты 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gp</w:t>
            </w:r>
            <w:proofErr w:type="spellEnd"/>
            <w:r>
              <w:rPr>
                <w:sz w:val="24"/>
                <w:szCs w:val="24"/>
                <w:lang w:eastAsia="en-US"/>
              </w:rPr>
              <w:t>35367@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donpac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официального сайта в информационно-телекоммуникационной сети «Интернет»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4"/>
                  <w:sz w:val="24"/>
                  <w:szCs w:val="24"/>
                  <w:lang w:eastAsia="en-US"/>
                </w:rPr>
                <w:t>http://www.semikarakorsk-adm.ru/</w:t>
              </w:r>
            </w:hyperlink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</w:t>
            </w:r>
            <w:r>
              <w:rPr>
                <w:sz w:val="24"/>
                <w:szCs w:val="24"/>
                <w:lang w:eastAsia="en-US"/>
              </w:rPr>
              <w:tab/>
              <w:t>наличии) ответственного должностного лица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Чайкина Оксана Юрьевна - заведующий сектором социально-экономического прогнозирования и развития предпринимательства отдела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Единого портала торгов 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Российской Федерации в информационно-</w:t>
            </w:r>
            <w:r>
              <w:rPr>
                <w:sz w:val="24"/>
                <w:szCs w:val="24"/>
                <w:lang w:eastAsia="en-US"/>
              </w:rPr>
              <w:lastRenderedPageBreak/>
              <w:t>телекоммуникационной сети «Интернет»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Сайт размещения информации: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4"/>
                  <w:sz w:val="24"/>
                  <w:szCs w:val="24"/>
                  <w:lang w:eastAsia="en-US"/>
                </w:rPr>
                <w:t>www.torgi.</w:t>
              </w:r>
              <w:proofErr w:type="spellStart"/>
              <w:r>
                <w:rPr>
                  <w:rStyle w:val="a4"/>
                  <w:sz w:val="24"/>
                  <w:szCs w:val="24"/>
                  <w:lang w:val="en-US" w:eastAsia="en-US"/>
                </w:rPr>
                <w:t>gov</w:t>
              </w:r>
              <w:proofErr w:type="spellEnd"/>
              <w:r>
                <w:rPr>
                  <w:rStyle w:val="a4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электронной площадки в информационн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телекоммуникационной сети «Интернет»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торговая площадка «РТС-Тендер»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4"/>
                  <w:sz w:val="24"/>
                  <w:szCs w:val="24"/>
                  <w:lang w:eastAsia="en-US"/>
                </w:rPr>
                <w:t>https://www.rts-tender.ru/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Аукционная комиссия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Определена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соответствии с  постановлением Администрации Семикаракорского городского поселения от 25.03.2022 № 179</w:t>
            </w: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объекта, (тип, описание внешнего вида, площадь, специализация нестационарного торгового объекта)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 указаны в разделе 2 настоящего Извещения.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НТО размещается в соответствии со схемой  размещения нестационарных торговых  объектов, утвержденной постановлением Администрации Семикаракорского района от 23.03.2022 № 363, размещенной на официальном сайте администрации Семикаракорского городского поселения, опубликованной https://sem.donland.ru/</w:t>
            </w:r>
            <w:r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участникам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  <w:r>
              <w:rPr>
                <w:sz w:val="24"/>
                <w:szCs w:val="24"/>
                <w:lang w:eastAsia="en-US"/>
              </w:rPr>
              <w:tab/>
              <w:t>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  <w:r>
              <w:rPr>
                <w:sz w:val="24"/>
                <w:szCs w:val="24"/>
                <w:lang w:eastAsia="en-US"/>
              </w:rPr>
              <w:tab/>
              <w:t>отсутствие факта приостановления деятельности в порядке, предусмотренном Кодексом об административных правонарушениях Российской Федерации, на день подачи заявки.</w:t>
            </w: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содержанию и составу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Заявка состоит из двух частей. Обе части заявки подаются заявителем одновременно.</w:t>
            </w:r>
          </w:p>
          <w:p w:rsidR="006A6D41" w:rsidRDefault="006A6D41" w:rsidP="006A6D4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заявки должна содержать согласие заявителя с условиями Извещения, а также его обязательство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нестационарный торговый объект в соответствии с техническими характеристиками, указанными в Извещении.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часть заявки оформляется по форме, содержащейся в Извещении (приложение 1 к Извещению).</w:t>
            </w:r>
          </w:p>
          <w:p w:rsidR="006A6D41" w:rsidRDefault="006A6D41" w:rsidP="006A6D4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 участника электронного аукциона; ФИО и должность лица, уполномоченного на подписание договора; документ, подтверждающий </w:t>
            </w:r>
            <w:r>
              <w:rPr>
                <w:sz w:val="24"/>
                <w:szCs w:val="24"/>
                <w:lang w:eastAsia="en-US"/>
              </w:rPr>
              <w:lastRenderedPageBreak/>
              <w:t>полномочия лица на подписание договора;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копию документа, удостоверяющего личность заявителя или представителя заявителя, либо временное удостоверение личности заявителя или представителя заявителя;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если от имени заявителя действует иное лицо, предъявляется надлежащим образом оформленная доверенность на осуществление действий от имени заявителя;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справку об исполнении налогоплательщиком (плательщиком сборов, налоговым агентом) обязанности по уплате налогов, сборов, пеней, штрафов, выданную не ранее даты извещения о проведения аукциона;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для юридических лиц:</w:t>
            </w:r>
          </w:p>
          <w:p w:rsidR="006A6D41" w:rsidRDefault="006A6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учредительных документов;</w:t>
            </w:r>
          </w:p>
          <w:p w:rsidR="006A6D41" w:rsidRDefault="006A6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государственной регистрации юридического лица;</w:t>
            </w:r>
          </w:p>
          <w:p w:rsidR="006A6D41" w:rsidRDefault="006A6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выписку из Единого государственного реестра юридических лиц, выданную не ранее даты извещения о проведении электронного аукциона;</w:t>
            </w:r>
          </w:p>
          <w:p w:rsidR="006A6D41" w:rsidRDefault="006A6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A6D41" w:rsidRDefault="006A6D4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для индивидуальных предпринимателей:</w:t>
            </w:r>
          </w:p>
          <w:p w:rsidR="006A6D41" w:rsidRDefault="006A6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государственной регистрации физического лица в качестве индивидуального предпринимателя;</w:t>
            </w:r>
          </w:p>
          <w:p w:rsidR="006A6D41" w:rsidRDefault="006A6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постановке на налоговый учет физического лица;</w:t>
            </w:r>
          </w:p>
          <w:p w:rsidR="006A6D41" w:rsidRDefault="006A6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выписку из Единого государственного реестра индивидуальных предпринимателей, выданную не ранее даты извещения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кциона.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если электронный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Вторая часть заявки оформляется по форме, </w:t>
            </w:r>
            <w:r>
              <w:rPr>
                <w:sz w:val="24"/>
                <w:szCs w:val="24"/>
                <w:lang w:eastAsia="en-US"/>
              </w:rPr>
              <w:lastRenderedPageBreak/>
              <w:t>содержащейся в Извещении (приложение 2 к Извещению).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язык, в порядке, установленном законодательством Российской Федерации.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Организатор электронного аукциона вправе отказаться от проведения электронного аукциона не позднее, чем за три дня до даты окончания срока подачи заявок на участие в электронном аукционе, а именно не позднее 25.04.2022 г. 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Извещения.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аукциона. 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торгов, а также обеспечивает размещение на ЕПТ разъяснений положений Извещения с указанием предмета запроса, но без указания участника электронного аукциона,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чем за пять дней до даты окончания срока подачи заявок. Разъяснение положений Извещения не должно изменять его суть.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начала и окончания срока предоставления участникам электронного аукциона разъяснений положений Извещения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начала предоставления разъяснений положений Извещения: 30.03.2022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окончания предоставления разъяснений положений Извещения: 25.04.2022 г. </w:t>
            </w: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(минимальная) цена договора (Лота)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Начальная (минимальная) цена договора (лота) устанавливается в размере, определенном Методикой определения начальной цены при объявлении торгов в электронной форме на право размещения нестационарных торговых объектов на земельных участках, в зданиях, строениях </w:t>
            </w:r>
            <w:r>
              <w:rPr>
                <w:sz w:val="24"/>
                <w:szCs w:val="24"/>
                <w:lang w:eastAsia="en-US"/>
              </w:rPr>
              <w:lastRenderedPageBreak/>
              <w:t>сооружениях, находящихся в собственности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городское поселение», а также на землях или земельных участках, государственная собственность на которые не разграничена на территории Семикаракорского городского поселения.</w:t>
            </w:r>
            <w:proofErr w:type="gramEnd"/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«Шаг аукциона»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«Шаг аукциона» составляет 5 (пять) процентов от начальной (минимальной) цены договора (лота).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Требуется обеспечение заявок на участие в аукционе в виде задатка, в размере, указанном в разделе 2 настоящего Извещения.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внесения.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электронном аукционе возможно при наличии на лицевом счете заявителя,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счету, в размере не менее чем размер обеспечения заявки, указанный в Извещении.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аукционе, в отношении денежных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в р</w:t>
            </w:r>
            <w:proofErr w:type="gramEnd"/>
            <w:r>
              <w:rPr>
                <w:sz w:val="24"/>
                <w:szCs w:val="24"/>
                <w:lang w:eastAsia="en-US"/>
              </w:rPr>
              <w:t>азмере обеспечения указанной заявки, указанном в Извещении.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Подача заявителем заявки является согласием этого заявителя на списание денежных средств, находящихся на его лицевом счете, открытом для проведения операций по обеспечению участия в электронном аукционе, в качестве платы за участие в нем, взимаемой с лица, с которым заключается договор. Данные действия признаются заключением соглашения о задатке.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электронном аукционе заявителя, подавшего указанную заявку, в отношении денежных средства размере обеспечения указанной заявки.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аукциона, за исключением </w:t>
            </w:r>
            <w:r>
              <w:rPr>
                <w:sz w:val="24"/>
                <w:szCs w:val="24"/>
                <w:lang w:eastAsia="en-US"/>
              </w:rPr>
              <w:lastRenderedPageBreak/>
              <w:t>победителя электронного аукциона либо единственного участника электронного аукциона.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внесенного заявителем, с которым заключен договор, засчитывается в счет оплаты договора.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Ограничение в отношении участников электронного аукциона, являющихся субъектами малого и среднего предпринимательства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подачи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Лица, получившие аккредитацию на электронной площадке,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аукционе.</w:t>
            </w:r>
            <w:proofErr w:type="gramEnd"/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документов, содержащих первые и вторые части заявки. Указанные электронные документы подаются одновременно.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срока, определенного регламентом электронной площадки,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 в отношении каждого лота.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подачи одним заявителем заявок по нескольким лотам на каждый лот оформляется отдельная заявка.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отзыва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в р</w:t>
            </w:r>
            <w:proofErr w:type="gramEnd"/>
            <w:r>
              <w:rPr>
                <w:sz w:val="24"/>
                <w:szCs w:val="24"/>
                <w:lang w:eastAsia="en-US"/>
              </w:rPr>
              <w:t>азмере задатка.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время начала и окончания срока подачи заявок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8 час.00 мин. по московскому времени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30.03.2022 г. 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17 час. 00 мин. по </w:t>
            </w:r>
            <w:proofErr w:type="gramStart"/>
            <w:r>
              <w:rPr>
                <w:sz w:val="24"/>
                <w:szCs w:val="24"/>
                <w:lang w:eastAsia="en-US"/>
              </w:rPr>
              <w:t>московскому</w:t>
            </w:r>
            <w:proofErr w:type="gramEnd"/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времени 29.04.2022 г.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время начала и окончания срока рассмотрения заявок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8 час. 00 мин. по московскому времени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04.05.2022 г.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17 час.00 мин. по </w:t>
            </w:r>
            <w:proofErr w:type="gramStart"/>
            <w:r>
              <w:rPr>
                <w:sz w:val="24"/>
                <w:szCs w:val="24"/>
                <w:lang w:eastAsia="en-US"/>
              </w:rPr>
              <w:t>московскому</w:t>
            </w:r>
            <w:proofErr w:type="gramEnd"/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времени 13.05.2022 г.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18.05.2022 г.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начала проведения электронного аукциона устанавливается оператором электронной площадки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Победителем электронного аукциона признается его участник, соответствующий требованиям Извещения, предложивший наиболее высокую цену договора (лота), и заявка которого соответствует требованиям, установленным в Извещении.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>
              <w:rPr>
                <w:sz w:val="24"/>
                <w:szCs w:val="24"/>
                <w:lang w:eastAsia="en-US"/>
              </w:rPr>
              <w:t>уклонившимся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 заключения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Победитель электронного аукциона либо единственный участник электронного аукциона признается уклонившимся от заключения договора в случае, если  он не направил организатору электронного аукциона проект договора, подписанный лицом, имеющим право действовать от имени победителя либо единственного участника такого аукциона,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аукциона.</w:t>
            </w:r>
            <w:proofErr w:type="gramEnd"/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 порядок заключения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Стороны Договора подписывают договор на бумажных носителях.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аукциона при заключении договора с победителем электронного аукциона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позднее десяти дней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размещения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аукциона. Договор заключается организатором электронного аукциона либо уполномоченным им лицом.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Победитель электронного аукциона, с которым заключается договор, в случае наличия разногласий по проекту договора, размещенному на электронной площадке, представляет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этом победитель электронного аукциона, 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трех рабочих дней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получения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proofErr w:type="gramStart"/>
            <w:r>
              <w:rPr>
                <w:sz w:val="24"/>
                <w:szCs w:val="24"/>
                <w:lang w:eastAsia="en-US"/>
              </w:rPr>
              <w:t>В случае отказа учесть полностью или частично содержащиеся в протоколе разногласий замечания победителя электронного аукциона,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аукциона.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В срок, предусмотренный для заключения договора,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сведений, предусмотренных пунктом 9 Извещения.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proofErr w:type="gramStart"/>
            <w:r>
              <w:rPr>
                <w:sz w:val="24"/>
                <w:szCs w:val="24"/>
                <w:lang w:eastAsia="en-US"/>
              </w:rPr>
              <w:t>В случае отказа от заключения договора с победителем электронного аукциона аукционная комиссия в срок не позднее дня, следующего после дня установления факта,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аукциона отказывается заключить договор, сведения 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факте</w:t>
            </w:r>
            <w:proofErr w:type="gramEnd"/>
            <w:r>
              <w:rPr>
                <w:sz w:val="24"/>
                <w:szCs w:val="24"/>
                <w:lang w:eastAsia="en-US"/>
              </w:rPr>
              <w:t>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аукциона, а второй направляется победителю электронного аукциона (единственному участнику электронного аукциона).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Аукционная комиссия направляет протокол об отказе от заключения договора оператору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электронной площадки для размещения на электронной площадке, размещает его на официальном сайте торгов, сайте организатора, а также обеспечивает размещение на ЕПТ не позднее следующего дня после подписания указанного протокола. Организатор электронного аукциона в течение двух рабочих дней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подписания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размещения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электронной площадке протокола подведения итогов электронного аукциона.</w:t>
            </w:r>
          </w:p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proofErr w:type="gramStart"/>
            <w:r>
              <w:rPr>
                <w:sz w:val="24"/>
                <w:szCs w:val="24"/>
                <w:lang w:eastAsia="en-US"/>
              </w:rPr>
              <w:t>Договор с единственным участником электронного аукциона заключается в порядке, установленном разделом 24 Порядка организации и проведения открытого аукциона в электронной на право размещения нестационарного торгового объекта.</w:t>
            </w:r>
            <w:proofErr w:type="gramEnd"/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Форма, сроки и порядок оплаты по договору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Форма, сроки и порядок оплаты определены проектом договора.</w:t>
            </w: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Реквизиты для внесения денежных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в к</w:t>
            </w:r>
            <w:proofErr w:type="gramEnd"/>
            <w:r>
              <w:rPr>
                <w:sz w:val="24"/>
                <w:szCs w:val="24"/>
                <w:lang w:eastAsia="en-US"/>
              </w:rPr>
              <w:t>ачестве платы цены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Получатель:  УФК по Ростовской области (Администрация Семикаракорского городского поселения)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Единый казначейский счет, открытый </w:t>
            </w:r>
          </w:p>
          <w:p w:rsidR="006A6D41" w:rsidRDefault="006A6D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отделение Ростов-на-Дону Банка России: </w:t>
            </w:r>
            <w:r>
              <w:rPr>
                <w:b/>
                <w:sz w:val="24"/>
                <w:szCs w:val="24"/>
                <w:lang w:eastAsia="en-US"/>
              </w:rPr>
              <w:t>40102810845370000050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Казначейский счет,  открытый в УФК</w:t>
            </w:r>
          </w:p>
          <w:p w:rsidR="006A6D41" w:rsidRDefault="006A6D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Ростовской области: </w:t>
            </w:r>
            <w:r>
              <w:rPr>
                <w:b/>
                <w:sz w:val="24"/>
                <w:szCs w:val="24"/>
                <w:lang w:eastAsia="en-US"/>
              </w:rPr>
              <w:t>03100643000000015800</w:t>
            </w:r>
          </w:p>
          <w:p w:rsidR="006A6D41" w:rsidRDefault="006A6D4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БИК</w:t>
            </w:r>
            <w:r>
              <w:rPr>
                <w:b/>
                <w:lang w:eastAsia="en-US"/>
              </w:rPr>
              <w:t xml:space="preserve"> 016015102</w:t>
            </w:r>
          </w:p>
          <w:p w:rsidR="006A6D41" w:rsidRDefault="006A6D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Наименование Банка получателя: </w:t>
            </w:r>
            <w:r>
              <w:rPr>
                <w:b/>
                <w:sz w:val="24"/>
                <w:szCs w:val="24"/>
                <w:lang w:eastAsia="en-US"/>
              </w:rPr>
              <w:t>Отделение Ростов-на-Дону Банка России//УФК по Ростовской области  г. Ростов-на-Дону</w:t>
            </w:r>
          </w:p>
          <w:p w:rsidR="006A6D41" w:rsidRDefault="006A6D41">
            <w:pPr>
              <w:rPr>
                <w:sz w:val="24"/>
                <w:szCs w:val="24"/>
                <w:lang w:eastAsia="en-US"/>
              </w:rPr>
            </w:pPr>
          </w:p>
        </w:tc>
      </w:tr>
      <w:tr w:rsidR="006A6D41" w:rsidTr="006A6D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лица, обладающего преимущественным правом на заключение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Лица, обладающие преимущественным правом на заключение договора отсутствуют</w:t>
            </w:r>
            <w:proofErr w:type="gramEnd"/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rPr>
          <w:sz w:val="24"/>
          <w:szCs w:val="24"/>
        </w:rPr>
        <w:sectPr w:rsidR="006A6D41">
          <w:pgSz w:w="11906" w:h="16838"/>
          <w:pgMar w:top="53" w:right="707" w:bottom="1134" w:left="1701" w:header="680" w:footer="0" w:gutter="0"/>
          <w:pgNumType w:start="1"/>
          <w:cols w:space="720"/>
        </w:sect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>
        <w:rPr>
          <w:sz w:val="24"/>
          <w:szCs w:val="24"/>
        </w:rPr>
        <w:tab/>
        <w:t>Перечень лотов, начальная (минимальная) цена договора (лота) по каждому лоту, срок действия договоров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Лот № 1</w:t>
      </w: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Калинина, 453 (район магазина «</w:t>
            </w:r>
            <w:proofErr w:type="spellStart"/>
            <w:r>
              <w:rPr>
                <w:sz w:val="24"/>
                <w:szCs w:val="24"/>
                <w:lang w:eastAsia="en-US"/>
              </w:rPr>
              <w:t>Автоальянс</w:t>
            </w:r>
            <w:proofErr w:type="spellEnd"/>
            <w:r>
              <w:rPr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 июня по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4205,13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6D41" w:rsidRDefault="006A6D41" w:rsidP="006A6D4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«Шаг» аукциона по лоту № 1:       210,00 (двести десять рублей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2</w:t>
      </w: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Семикаракорский район,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Ленина, между магазином «Магнит» и бывшим кинотеатром «Прогресс»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 июня по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5931,96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«Шаг» аукциона по лоту № 2:       296,00 (двести девяносто шесть рублей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3</w:t>
      </w: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Семикаракорский район,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пр. В.А. </w:t>
            </w:r>
            <w:proofErr w:type="spellStart"/>
            <w:r>
              <w:rPr>
                <w:sz w:val="24"/>
                <w:szCs w:val="24"/>
                <w:lang w:eastAsia="en-US"/>
              </w:rPr>
              <w:t>Закруткина</w:t>
            </w:r>
            <w:proofErr w:type="spellEnd"/>
            <w:r>
              <w:rPr>
                <w:sz w:val="24"/>
                <w:szCs w:val="24"/>
                <w:lang w:eastAsia="en-US"/>
              </w:rPr>
              <w:t>, район старой поликлиники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 июня по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5454,60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«Шаг» аукциона по лоту № 3:       272,00 (двести семьдесят два рубля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4</w:t>
      </w: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Семикаракорский район,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Ленина, район строения,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 июня по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5702,82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«Шаг» аукциона по лоту № 4:      285,00  (двести восемьдесят  пять рублей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5</w:t>
      </w: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(район МАУ «МФЦ» </w:t>
            </w:r>
            <w:proofErr w:type="gram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пр. В.А. </w:t>
            </w:r>
            <w:proofErr w:type="spellStart"/>
            <w:r>
              <w:rPr>
                <w:sz w:val="24"/>
                <w:szCs w:val="24"/>
                <w:lang w:eastAsia="en-US"/>
              </w:rPr>
              <w:t>Закруткина</w:t>
            </w:r>
            <w:proofErr w:type="spellEnd"/>
            <w:r>
              <w:rPr>
                <w:sz w:val="24"/>
                <w:szCs w:val="24"/>
                <w:lang w:eastAsia="en-US"/>
              </w:rPr>
              <w:t>, 25/2)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 июня по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3171,72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3171,72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«Шаг» аукциона по лоту № 5:      158,00  (сто пятьдесят восемь  рублей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6</w:t>
      </w: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примерно в 5 м по направлению на северо-восток от строения, расположенного по адресу: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переулок,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 июня по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5452,57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5452,57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«Шаг» аукциона по лоту № 6:      272,00 (двести семьдесят два  рубля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7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в районе магазина «Пикет № 4»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Авилова, 37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 июня по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5627,42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«Шаг» аукциона по лоту № 7:      281,00 (двести восемьдесят один рубль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8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Семикаракорский район, 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>, пересечение ул. Строителей и ул. Королева (район магазина «Пикет №7»)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 июля по 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14136,73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14136,73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«Шаг» аукциона по лоту № 8:     706,00 (семьсот шесть рублей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9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Семикаракорский район, 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>, пересечение ул. Строителей и ул. Королева (район магазина «Пикет №7»)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 июня по 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17670,91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17670,91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«Шаг» аукциона по лоту № 9</w:t>
      </w:r>
      <w:proofErr w:type="gramStart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    883,00 (восемьсот восемьдесят три рубля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10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Семикаракорский район, примерно в 9 м по направлению на север от строения, расположенного по адресу: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О. Кошевого, строение, 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 июня по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7839,22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7839,22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«Шаг» аукциона по лоту № 10:      391,00 (триста девяносто один рубль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11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Семикаракорский район, примерно в 21 м по направлению на восток от строения, расположенного по адресу: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А.А. </w:t>
            </w:r>
            <w:proofErr w:type="spellStart"/>
            <w:r>
              <w:rPr>
                <w:sz w:val="24"/>
                <w:szCs w:val="24"/>
                <w:lang w:eastAsia="en-US"/>
              </w:rPr>
              <w:t>Араканцева</w:t>
            </w:r>
            <w:proofErr w:type="spellEnd"/>
            <w:r>
              <w:rPr>
                <w:sz w:val="24"/>
                <w:szCs w:val="24"/>
                <w:lang w:eastAsia="en-US"/>
              </w:rPr>
              <w:t>, 21/1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 июня по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8455,85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«Шаг» аукциона по лоту № 11:      422,00 (четыреста двадцать два рубля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12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Семикаракорский район, примерно  5 м по направлению на юг от строения, расположенного по адресу: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Орджоникидзе, строение, 38/3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 июня по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11486,89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r>
        <w:rPr>
          <w:sz w:val="24"/>
          <w:szCs w:val="24"/>
        </w:rPr>
        <w:t>«Шаг» аукциона по лоту № 12:      574,00 (пятьсот семьдесят четыре рубля 00 копеек), без НДС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Лот № 13</w:t>
      </w: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tbl>
      <w:tblPr>
        <w:tblStyle w:val="a6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Адресные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ориентиры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Описа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внешнего вида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ционар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Специали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зация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торгового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(минимальная)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 за весь период размещения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(цена лота),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НДС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задатка, руб.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6D41" w:rsidTr="006A6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Семикаракорский район, 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Семикаракорск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Ленина (район магазина «Магнит»)</w:t>
            </w: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</w:t>
            </w:r>
            <w:proofErr w:type="gramStart"/>
            <w:r>
              <w:rPr>
                <w:sz w:val="23"/>
                <w:szCs w:val="23"/>
                <w:lang w:eastAsia="en-US"/>
              </w:rPr>
              <w:t>Дизайн-кодом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Семикаракорское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 июня по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16906,25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41" w:rsidRDefault="006A6D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16906,25</w:t>
            </w:r>
          </w:p>
        </w:tc>
      </w:tr>
    </w:tbl>
    <w:p w:rsidR="006A6D41" w:rsidRDefault="006A6D41" w:rsidP="006A6D41">
      <w:pPr>
        <w:jc w:val="both"/>
        <w:rPr>
          <w:sz w:val="24"/>
          <w:szCs w:val="24"/>
          <w:lang w:eastAsia="en-US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jc w:val="both"/>
        <w:rPr>
          <w:sz w:val="24"/>
          <w:szCs w:val="24"/>
        </w:rPr>
      </w:pPr>
    </w:p>
    <w:p w:rsidR="006A6D41" w:rsidRDefault="006A6D41" w:rsidP="006A6D41">
      <w:pPr>
        <w:rPr>
          <w:sz w:val="24"/>
          <w:szCs w:val="24"/>
        </w:rPr>
      </w:pPr>
      <w:r>
        <w:rPr>
          <w:sz w:val="24"/>
          <w:szCs w:val="24"/>
        </w:rPr>
        <w:t>«Шаг» аукциона по лоту № 13:      845,00 (восемьсот сорок пять рублей 00 копеек), без НДС</w:t>
      </w:r>
    </w:p>
    <w:p w:rsidR="006A6D41" w:rsidRDefault="006A6D41" w:rsidP="006A6D41">
      <w:pPr>
        <w:rPr>
          <w:sz w:val="24"/>
          <w:szCs w:val="24"/>
        </w:rPr>
        <w:sectPr w:rsidR="006A6D41">
          <w:pgSz w:w="16838" w:h="11906" w:orient="landscape"/>
          <w:pgMar w:top="1701" w:right="567" w:bottom="709" w:left="1134" w:header="709" w:footer="709" w:gutter="0"/>
          <w:cols w:space="720"/>
        </w:sectPr>
      </w:pPr>
    </w:p>
    <w:p w:rsidR="003546A0" w:rsidRDefault="003546A0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Pr="003A11DC" w:rsidRDefault="003A11DC" w:rsidP="003A11DC">
      <w:pPr>
        <w:jc w:val="center"/>
        <w:rPr>
          <w:b/>
          <w:sz w:val="36"/>
          <w:szCs w:val="36"/>
        </w:rPr>
      </w:pPr>
    </w:p>
    <w:sectPr w:rsidR="003A11DC" w:rsidRPr="003A11DC" w:rsidSect="00426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650F"/>
    <w:multiLevelType w:val="hybridMultilevel"/>
    <w:tmpl w:val="22F46EC6"/>
    <w:lvl w:ilvl="0" w:tplc="25C4307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C187C2D"/>
    <w:multiLevelType w:val="hybridMultilevel"/>
    <w:tmpl w:val="15E68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61D67"/>
    <w:rsid w:val="000B21E6"/>
    <w:rsid w:val="002257DB"/>
    <w:rsid w:val="00232EBA"/>
    <w:rsid w:val="00263261"/>
    <w:rsid w:val="00265993"/>
    <w:rsid w:val="002C4B15"/>
    <w:rsid w:val="003238CF"/>
    <w:rsid w:val="00350708"/>
    <w:rsid w:val="003546A0"/>
    <w:rsid w:val="003A11DC"/>
    <w:rsid w:val="003F2F75"/>
    <w:rsid w:val="00426AC3"/>
    <w:rsid w:val="0049356E"/>
    <w:rsid w:val="00587620"/>
    <w:rsid w:val="005E0D68"/>
    <w:rsid w:val="006343AE"/>
    <w:rsid w:val="006777B1"/>
    <w:rsid w:val="006A6D41"/>
    <w:rsid w:val="006E4F8E"/>
    <w:rsid w:val="00751BF2"/>
    <w:rsid w:val="00785CAB"/>
    <w:rsid w:val="007B345D"/>
    <w:rsid w:val="0093288C"/>
    <w:rsid w:val="00971279"/>
    <w:rsid w:val="00A145B2"/>
    <w:rsid w:val="00A419B0"/>
    <w:rsid w:val="00AA34DE"/>
    <w:rsid w:val="00AF6956"/>
    <w:rsid w:val="00C303D4"/>
    <w:rsid w:val="00C70E4D"/>
    <w:rsid w:val="00D6239B"/>
    <w:rsid w:val="00DC6404"/>
    <w:rsid w:val="00DF53A5"/>
    <w:rsid w:val="00E71526"/>
    <w:rsid w:val="00EC06EA"/>
    <w:rsid w:val="00EE20CE"/>
    <w:rsid w:val="00F14FF7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  <w:style w:type="character" w:styleId="a9">
    <w:name w:val="FollowedHyperlink"/>
    <w:basedOn w:val="a0"/>
    <w:uiPriority w:val="99"/>
    <w:semiHidden/>
    <w:unhideWhenUsed/>
    <w:rsid w:val="006A6D4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A6D41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A6D41"/>
    <w:rPr>
      <w:rFonts w:ascii="Tahoma" w:hAnsi="Tahoma" w:cs="Tahoma"/>
      <w:sz w:val="28"/>
    </w:rPr>
  </w:style>
  <w:style w:type="paragraph" w:styleId="ac">
    <w:name w:val="footer"/>
    <w:basedOn w:val="a"/>
    <w:link w:val="ad"/>
    <w:uiPriority w:val="99"/>
    <w:semiHidden/>
    <w:unhideWhenUsed/>
    <w:rsid w:val="006A6D41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A6D41"/>
    <w:rPr>
      <w:rFonts w:ascii="Tahoma" w:hAnsi="Tahoma" w:cs="Tahoma"/>
      <w:sz w:val="28"/>
    </w:rPr>
  </w:style>
  <w:style w:type="paragraph" w:customStyle="1" w:styleId="ConsPlusTitlePage">
    <w:name w:val="ConsPlusTitlePage"/>
    <w:uiPriority w:val="99"/>
    <w:rsid w:val="006A6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6A6D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7">
    <w:name w:val="7"/>
    <w:basedOn w:val="a"/>
    <w:uiPriority w:val="99"/>
    <w:rsid w:val="006A6D41"/>
    <w:pPr>
      <w:spacing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6A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  <w:style w:type="character" w:styleId="a9">
    <w:name w:val="FollowedHyperlink"/>
    <w:basedOn w:val="a0"/>
    <w:uiPriority w:val="99"/>
    <w:semiHidden/>
    <w:unhideWhenUsed/>
    <w:rsid w:val="006A6D4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A6D41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A6D41"/>
    <w:rPr>
      <w:rFonts w:ascii="Tahoma" w:hAnsi="Tahoma" w:cs="Tahoma"/>
      <w:sz w:val="28"/>
    </w:rPr>
  </w:style>
  <w:style w:type="paragraph" w:styleId="ac">
    <w:name w:val="footer"/>
    <w:basedOn w:val="a"/>
    <w:link w:val="ad"/>
    <w:uiPriority w:val="99"/>
    <w:semiHidden/>
    <w:unhideWhenUsed/>
    <w:rsid w:val="006A6D41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A6D41"/>
    <w:rPr>
      <w:rFonts w:ascii="Tahoma" w:hAnsi="Tahoma" w:cs="Tahoma"/>
      <w:sz w:val="28"/>
    </w:rPr>
  </w:style>
  <w:style w:type="paragraph" w:customStyle="1" w:styleId="ConsPlusTitlePage">
    <w:name w:val="ConsPlusTitlePage"/>
    <w:uiPriority w:val="99"/>
    <w:rsid w:val="006A6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6A6D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7">
    <w:name w:val="7"/>
    <w:basedOn w:val="a"/>
    <w:uiPriority w:val="99"/>
    <w:rsid w:val="006A6D41"/>
    <w:pPr>
      <w:spacing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6A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67617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karakorsk-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2021-12-08T12:22:00Z</cp:lastPrinted>
  <dcterms:created xsi:type="dcterms:W3CDTF">2022-03-28T12:49:00Z</dcterms:created>
  <dcterms:modified xsi:type="dcterms:W3CDTF">2022-03-28T12:49:00Z</dcterms:modified>
</cp:coreProperties>
</file>